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keepNext w:val="0"/>
        <w:keepLines w:val="0"/>
        <w:pageBreakBefore w:val="0"/>
        <w:widowControl w:val="0"/>
        <w:kinsoku/>
        <w:wordWrap/>
        <w:overflowPunct/>
        <w:topLinePunct w:val="0"/>
        <w:bidi w:val="0"/>
        <w:snapToGrid w:val="0"/>
        <w:spacing w:line="360" w:lineRule="auto"/>
        <w:ind w:firstLineChars="200" w:firstLine="720"/>
        <w:jc w:val="center"/>
        <w:textAlignment w:val="auto"/>
        <w:rPr>
          <w:b/>
          <w:bCs/>
          <w:color w:val="auto"/>
          <w:sz w:val="36"/>
          <w:szCs w:val="44"/>
          <w:lang w:val="en-US" w:eastAsia="zh-CN"/>
          <w:highlight w:val="auto"/>
        </w:rPr>
      </w:pPr>
      <w:bookmarkStart w:id="0" w:name="_GoBack"/>
      <w:bookmarkEnd w:id="0"/>
      <w:r>
        <w:rPr>
          <w:rFonts w:hint="eastAsia"/>
          <w:b/>
          <w:bCs/>
          <w:color w:val="auto"/>
          <w:sz w:val="36"/>
          <w:szCs w:val="44"/>
          <w:lang w:val="en-US" w:eastAsia="zh-CN"/>
          <w:highlight w:val="auto"/>
        </w:rPr>
        <w:t>采购需求公示</w:t>
      </w:r>
    </w:p>
    <w:p>
      <w:pPr>
        <w:keepNext w:val="0"/>
        <w:keepLines w:val="0"/>
        <w:pageBreakBefore w:val="0"/>
        <w:widowControl w:val="0"/>
        <w:kinsoku/>
        <w:wordWrap/>
        <w:overflowPunct/>
        <w:topLinePunct w:val="0"/>
        <w:autoSpaceDE/>
        <w:autoSpaceDN/>
        <w:bidi w:val="0"/>
        <w:adjustRightInd/>
        <w:snapToGrid w:val="0"/>
        <w:spacing w:beforeLines="50" w:before="156" w:line="360" w:lineRule="auto"/>
        <w:jc w:val="both"/>
        <w:textAlignment w:val="auto"/>
        <w:outlineLvl w:val="0"/>
        <w:rPr>
          <w:rFonts w:hint="eastAsia"/>
          <w:b/>
          <w:bCs/>
          <w:color w:val="auto"/>
          <w:sz w:val="28"/>
          <w:szCs w:val="28"/>
          <w:lang w:val="en-US" w:eastAsia="zh-CN"/>
          <w:highlight w:val="auto"/>
        </w:rPr>
      </w:pPr>
      <w:r>
        <w:rPr>
          <w:rFonts w:hint="eastAsia"/>
          <w:b/>
          <w:bCs/>
          <w:color w:val="auto"/>
          <w:sz w:val="28"/>
          <w:szCs w:val="28"/>
          <w:lang w:val="en-US" w:eastAsia="zh-CN"/>
          <w:highlight w:val="auto"/>
        </w:rPr>
        <w:t>一、项目基本情况</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color w:val="auto"/>
          <w:sz w:val="24"/>
          <w:szCs w:val="24"/>
          <w:lang w:val="en-US" w:eastAsia="zh-CN"/>
          <w:highlight w:val="auto"/>
        </w:rPr>
      </w:pPr>
      <w:r>
        <w:rPr>
          <w:rFonts w:ascii="宋体" w:cs="宋体" w:hint="eastAsia"/>
          <w:color w:val="auto"/>
          <w:sz w:val="24"/>
          <w:szCs w:val="24"/>
          <w:lang w:val="en-US" w:eastAsia="zh-CN"/>
          <w:highlight w:val="auto"/>
        </w:rPr>
        <w:t>采购方式：公开招标</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highlight w:val="auto"/>
        </w:rPr>
        <w:t>项目名称：</w:t>
      </w:r>
      <w:r>
        <w:rPr>
          <w:rFonts w:ascii="宋体" w:cs="宋体" w:hint="eastAsia"/>
          <w:color w:val="auto"/>
          <w:sz w:val="24"/>
          <w:szCs w:val="24"/>
          <w:lang w:eastAsia="zh-CN"/>
          <w:highlight w:val="auto"/>
        </w:rPr>
        <w:t>贵阳海关综合技术中心（贵州国际旅行卫生保健中心、贵阳海关口岸门诊部）2026年实验室仪器设备更新项目</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cs="宋体" w:hint="eastAsia"/>
          <w:color w:val="auto"/>
          <w:sz w:val="24"/>
          <w:szCs w:val="24"/>
          <w:lang w:val="en-US" w:eastAsia="zh-CN"/>
          <w:highlight w:val="auto"/>
        </w:rPr>
      </w:pPr>
      <w:r>
        <w:rPr>
          <w:rFonts w:ascii="宋体" w:eastAsia="宋体" w:cs="宋体" w:hint="eastAsia"/>
          <w:color w:val="auto"/>
          <w:sz w:val="24"/>
          <w:szCs w:val="24"/>
          <w:highlight w:val="auto"/>
        </w:rPr>
        <w:t>预算金额：3460000.00</w:t>
      </w:r>
      <w:r>
        <w:rPr>
          <w:rFonts w:ascii="宋体" w:cs="宋体" w:hint="eastAsia"/>
          <w:color w:val="auto"/>
          <w:sz w:val="24"/>
          <w:szCs w:val="24"/>
          <w:lang w:val="en-US" w:eastAsia="zh-CN"/>
          <w:highlight w:val="auto"/>
        </w:rPr>
        <w:t>元（其中：A包：1040000.00元；B包：840000.00元；C包：870000.00元；D包：710000.00元）</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cs="宋体"/>
          <w:color w:val="auto"/>
          <w:sz w:val="24"/>
          <w:szCs w:val="24"/>
          <w:lang w:val="en-US" w:eastAsia="zh-CN"/>
          <w:highlight w:val="auto"/>
        </w:rPr>
      </w:pPr>
      <w:r>
        <w:rPr>
          <w:rFonts w:ascii="宋体" w:cs="宋体" w:hint="eastAsia"/>
          <w:color w:val="auto"/>
          <w:sz w:val="24"/>
          <w:szCs w:val="24"/>
          <w:lang w:val="en-US" w:eastAsia="zh-CN"/>
          <w:highlight w:val="auto"/>
        </w:rPr>
        <w:t>最高限价：3460000.00元（其中：A包：1040000.00元；B包：840000.00元；C包：870000.00元；D包：710000.00元）</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textAlignment w:val="auto"/>
        <w:outlineLvl w:val="0"/>
        <w:rPr>
          <w:rFonts w:ascii="宋体" w:eastAsia="宋体" w:cs="宋体"/>
          <w:b/>
          <w:bCs/>
          <w:color w:val="auto"/>
          <w:sz w:val="28"/>
          <w:szCs w:val="28"/>
          <w:lang w:val="en-US" w:eastAsia="zh-CN"/>
          <w:highlight w:val="auto"/>
        </w:rPr>
      </w:pPr>
      <w:r>
        <w:rPr>
          <w:rFonts w:ascii="宋体" w:cs="宋体" w:hint="eastAsia"/>
          <w:b/>
          <w:bCs/>
          <w:color w:val="auto"/>
          <w:sz w:val="28"/>
          <w:szCs w:val="28"/>
          <w:lang w:val="en-US" w:eastAsia="zh-CN"/>
          <w:highlight w:val="auto"/>
        </w:rPr>
        <w:t>二、资格条件</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2.落实政府采购政策需满足的资格要求：</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A包、B包、C包、D包：本项目是专门面向中小企业采购（供应商应为中小企业/小微企业,供应商应为监狱企业,供应商应为残疾人福利企业 ）</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3.申请人的一般资格要求：</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A包、B包、C包、D包：</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（1）具有独立承担民事责任的能力：提供法人或者其他组织的营业执照等证明文件，自然人投标的提供身份证明。</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（2）具有良好的商业信誉和健全的财务会计制度：提供2024年度或2025年度第三方审计的财务审计报告或提供开标截止时间前3个月开户银行出具的资信证明。</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（3）具有履行合同所必需的设备和专业技术能力：自行承诺具备履行合同所必需的设备和专业技术能力（承诺函自拟）。</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4）具有依法缴纳税收和社会保障资金的良好记录：提供2025年6月至今任意3个月依法缴纳税收和社会保障资金的有效证明材料，成立不足3个月的提供成立至今的税收及社保证明材料，依法不缴纳社保及免税、不缴纳税收的投标供应商提供由社保部门及税务机关出具的有效证明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（5）参加本次政府采购活动前三年内，在经营活动中没有重大违法记录：提供参加政府采购活动前三年内在经营活动中无重大违法记录的书面声明（自行声明）。</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6）法律、行政法规规定的其他条件：投标供应商自行承诺：在“信用中国”网站（www.creditchina.gov.cn）渠道查询中未被列入失信被执行人名单、重大税收违法失信主体名单，在中国政府采购网（www.ccgp.gov.cn）渠道查询中未被列入政府采购严重违法失信行为记录名单，查询截止时点为开标当日评审前，对列入失信被执行人、重大税收违法失信主体、政府采购严重违法失信行为记录名单的供应商，拒绝参与本次政府采购活动，并承担由此造成的一切法律责任及后果（承诺自拟）。</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24"/>
          <w:szCs w:val="24"/>
          <w:lang w:eastAsia="zh-CN"/>
          <w:highlight w:val="auto"/>
        </w:rPr>
      </w:pPr>
      <w:r>
        <w:rPr>
          <w:rFonts w:ascii="宋体" w:eastAsia="宋体" w:cs="宋体" w:hint="eastAsia"/>
          <w:color w:val="auto"/>
          <w:sz w:val="24"/>
          <w:szCs w:val="24"/>
          <w:lang w:eastAsia="zh-CN"/>
          <w:highlight w:val="auto"/>
        </w:rPr>
        <w:t>4.本项目的特定资格要求：</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Chars="200" w:firstLine="480"/>
        <w:textAlignment w:val="auto"/>
        <w:rPr>
          <w:rFonts w:ascii="宋体" w:eastAsia="宋体" w:cs="宋体" w:hint="eastAsia"/>
          <w:color w:val="auto"/>
          <w:sz w:val="30"/>
          <w:szCs w:val="30"/>
          <w:lang w:eastAsia="zh-CN"/>
          <w:highlight w:val="auto"/>
        </w:rPr>
      </w:pPr>
      <w:r>
        <w:rPr>
          <w:rFonts w:ascii="宋体" w:eastAsia="宋体" w:cs="宋体" w:hint="eastAsia"/>
          <w:color w:val="auto"/>
          <w:sz w:val="24"/>
          <w:szCs w:val="24"/>
          <w:lang w:eastAsia="zh-CN"/>
          <w:highlight w:val="auto"/>
        </w:rPr>
        <w:t>A包、B包、C包、D包：无。</w:t>
      </w:r>
    </w:p>
    <w:p>
      <w:pPr>
        <w:pStyle w:val="16"/>
        <w:keepNext w:val="0"/>
        <w:keepLines w:val="0"/>
        <w:pageBreakBefore w:val="0"/>
        <w:widowControl w:val="0"/>
        <w:kinsoku/>
        <w:wordWrap/>
        <w:overflowPunct/>
        <w:topLinePunct w:val="0"/>
        <w:autoSpaceDE/>
        <w:autoSpaceDN/>
        <w:bidi w:val="0"/>
        <w:adjustRightInd/>
        <w:snapToGrid w:val="0"/>
        <w:spacing w:beforeLines="50" w:before="156" w:after="0" w:line="360" w:lineRule="auto"/>
        <w:textAlignment w:val="auto"/>
        <w:outlineLvl w:val="0"/>
        <w:rPr>
          <w:b/>
          <w:bCs/>
          <w:color w:val="auto"/>
          <w:sz w:val="28"/>
          <w:szCs w:val="28"/>
          <w:lang w:val="en-US" w:eastAsia="zh-CN"/>
          <w:highlight w:val="auto"/>
        </w:rPr>
      </w:pPr>
      <w:r>
        <w:rPr>
          <w:rFonts w:hint="eastAsia"/>
          <w:b/>
          <w:bCs/>
          <w:color w:val="auto"/>
          <w:sz w:val="28"/>
          <w:szCs w:val="28"/>
          <w:lang w:val="en-US" w:eastAsia="zh-CN"/>
          <w:highlight w:val="auto"/>
        </w:rPr>
        <w:t>三、采购清单及技术参数</w:t>
      </w: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A包：</w:t>
      </w: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（一）采购清单</w:t>
      </w:r>
    </w:p>
    <w:tbl>
      <w:tblPr>
        <w:jc w:val="left"/>
        <w:tblInd w:w="0" w:type="dxa"/>
        <w:tblW w:w="4998"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0" w:type="dxa"/>
          <w:left w:w="108" w:type="dxa"/>
          <w:bottom w:w="0" w:type="dxa"/>
          <w:right w:w="108" w:type="dxa"/>
        </w:tblCellMar>
      </w:tblPr>
      <w:tblGrid>
        <w:gridCol w:w="884"/>
        <w:gridCol w:w="3599"/>
        <w:gridCol w:w="1764"/>
        <w:gridCol w:w="1222"/>
        <w:gridCol w:w="1474"/>
      </w:tblGrid>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序号</w:t>
            </w:r>
          </w:p>
        </w:tc>
        <w:tc>
          <w:tcPr>
            <w:tcW w:w="2012"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设备名称</w:t>
            </w:r>
          </w:p>
        </w:tc>
        <w:tc>
          <w:tcPr>
            <w:tcW w:w="986"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数量</w:t>
            </w:r>
          </w:p>
        </w:tc>
        <w:tc>
          <w:tcPr>
            <w:tcW w:w="683"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单位</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备注</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2012"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全自动QuEChERS样品前处理平台</w:t>
            </w:r>
          </w:p>
        </w:tc>
        <w:tc>
          <w:tcPr>
            <w:tcW w:w="986"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cs="宋体" w:hint="eastAsia"/>
                <w:color w:val="auto"/>
                <w:szCs w:val="24"/>
                <w:highlight w:val="auto"/>
              </w:rPr>
              <w:t>核心产品</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凝胶渗透色谱仪</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p>
        </w:tc>
      </w:tr>
    </w:tbl>
    <w:p>
      <w:pPr>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（二）技术参数要求</w:t>
      </w: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全自动QuEChERS样品前处理平台</w:t>
      </w:r>
    </w:p>
    <w:tbl>
      <w:tblPr>
        <w:jc w:val="left"/>
        <w:tblInd w:w="0" w:type="dxa"/>
        <w:tblW w:w="945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96"/>
        <w:gridCol w:w="696"/>
        <w:gridCol w:w="1065"/>
        <w:gridCol w:w="6994"/>
      </w:tblGrid>
      <w:tr>
        <w:trPr>
          <w:trHeight w:val="559"/>
        </w:trPr>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600"/>
        </w:trPr>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用于农兽药残留检测前处理，可全自动完成QuEChERS方法净化流程。</w:t>
            </w:r>
          </w:p>
        </w:tc>
      </w:tr>
      <w:tr>
        <w:trPr>
          <w:trHeight w:val="278"/>
        </w:trPr>
        <w:tc>
          <w:tcPr>
            <w:tcW w:w="696"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2.主要技术指标</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流程功能实现</w:t>
            </w:r>
          </w:p>
        </w:tc>
      </w:tr>
      <w:tr>
        <w:trPr>
          <w:trHeight w:val="30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自动完成样品在各个步骤转移</w:t>
            </w:r>
          </w:p>
        </w:tc>
      </w:tr>
      <w:tr>
        <w:trPr>
          <w:trHeight w:val="27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自动完成添加提取溶剂</w:t>
            </w:r>
          </w:p>
        </w:tc>
      </w:tr>
      <w:tr>
        <w:trPr>
          <w:trHeight w:val="27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自动对样品管、净化管进行开盖与关盖，自动对进样瓶进行关盖。</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自动添加QUEChERS提取所需盐</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2.1.5</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自动加入均质子</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2.1.6</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自动振荡加盐后的样品</w:t>
            </w:r>
          </w:p>
        </w:tc>
      </w:tr>
      <w:tr>
        <w:trPr>
          <w:trHeight w:val="25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2.1.7</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自动对样品进行离心操作</w:t>
            </w:r>
          </w:p>
        </w:tc>
      </w:tr>
      <w:tr>
        <w:trPr>
          <w:trHeight w:val="32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2.1.8</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自动移取提取液并进行基质分散固相萃取dSPE操作，包括振荡和离心</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2.1.9</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自动移取净化后的上清液</w:t>
            </w:r>
          </w:p>
        </w:tc>
      </w:tr>
      <w:tr>
        <w:trPr>
          <w:trHeight w:val="30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2.1.10</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自动移取净化后的上清液后过膜</w:t>
            </w:r>
          </w:p>
        </w:tc>
      </w:tr>
      <w:tr>
        <w:trPr>
          <w:trHeight w:val="30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2.1.11</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步骤与步骤之间交叠运行，最大限度提高工作效率</w:t>
            </w:r>
          </w:p>
        </w:tc>
      </w:tr>
      <w:tr>
        <w:trPr>
          <w:trHeight w:val="308"/>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2.1.12</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所有操作由电脑控制逐步完成，中间无需任何人工介入</w:t>
            </w:r>
          </w:p>
        </w:tc>
      </w:tr>
      <w:tr>
        <w:trPr>
          <w:trHeight w:val="5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2.1.13</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最大连续处理样品量：≥60个样品，无需人为介入，仪器能自动按照上条所有QuECHERs步骤进行前处理</w:t>
            </w:r>
          </w:p>
        </w:tc>
      </w:tr>
      <w:tr>
        <w:trPr>
          <w:trHeight w:val="5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2.1.14</w:t>
            </w:r>
          </w:p>
        </w:tc>
        <w:tc>
          <w:tcPr>
            <w:tcW w:w="6994" w:type="dxa"/>
            <w:tcBorders>
              <w:top w:val="single" w:sz="4" w:space="0" w:color="000000"/>
              <w:left w:val="single" w:sz="4" w:space="0" w:color="000000"/>
              <w:bottom w:val="single" w:sz="4" w:space="0" w:color="000000"/>
              <w:right w:val="single" w:sz="4" w:space="0" w:color="000000"/>
            </w:tcBorders>
            <w:noWrap/>
            <w:vAlign w:val="bottom"/>
          </w:tcPr>
          <w:p>
            <w:pPr>
              <w:widowControl/>
              <w:adjustRightInd w:val="0"/>
              <w:snapToGrid w:val="0"/>
              <w:spacing w:line="440" w:lineRule="exact"/>
              <w:jc w:val="left"/>
              <w:textAlignment w:val="bottom"/>
              <w:rPr>
                <w:rFonts w:ascii="宋体" w:cs="宋体" w:hint="eastAsia"/>
                <w:color w:val="auto"/>
                <w:szCs w:val="24"/>
                <w:highlight w:val="auto"/>
              </w:rPr>
            </w:pPr>
            <w:r>
              <w:rPr>
                <w:rFonts w:ascii="宋体" w:cs="宋体" w:hint="eastAsia"/>
                <w:color w:val="auto"/>
                <w:kern w:val="0"/>
                <w:szCs w:val="24"/>
                <w:highlight w:val="auto"/>
              </w:rPr>
              <w:t>配有样品冰浴模块；使用金属浴方式，冰浴通量≥60位（50ml离心管），</w:t>
            </w:r>
            <w:r>
              <w:rPr>
                <w:rFonts w:ascii="宋体" w:cs="宋体" w:hint="eastAsia"/>
                <w:color w:val="auto"/>
                <w:kern w:val="0"/>
                <w:szCs w:val="24"/>
                <w:lang w:val="en-US" w:eastAsia="zh-CN"/>
                <w:highlight w:val="auto"/>
              </w:rPr>
              <w:t>在室温25</w:t>
            </w:r>
            <w:r>
              <w:rPr>
                <w:rFonts w:ascii="宋体" w:cs="宋体" w:hint="eastAsia"/>
                <w:color w:val="auto"/>
                <w:kern w:val="0"/>
                <w:szCs w:val="24"/>
                <w:highlight w:val="auto"/>
              </w:rPr>
              <w:t>℃</w:t>
            </w:r>
            <w:r>
              <w:rPr>
                <w:rFonts w:ascii="宋体" w:cs="宋体" w:hint="eastAsia"/>
                <w:color w:val="auto"/>
                <w:kern w:val="0"/>
                <w:szCs w:val="24"/>
                <w:lang w:val="en-US" w:eastAsia="zh-CN"/>
                <w:highlight w:val="auto"/>
              </w:rPr>
              <w:t>下</w:t>
            </w:r>
            <w:r>
              <w:rPr>
                <w:rFonts w:ascii="宋体" w:cs="宋体" w:hint="eastAsia"/>
                <w:color w:val="auto"/>
                <w:kern w:val="0"/>
                <w:szCs w:val="24"/>
                <w:highlight w:val="auto"/>
              </w:rPr>
              <w:t>制冷温度0℃~室温。</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样品管理模块</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2.2.1 </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仪器可以自动移取处理过程中所需的50mL样品管和15mL净化管</w:t>
            </w:r>
          </w:p>
        </w:tc>
      </w:tr>
      <w:tr>
        <w:trPr>
          <w:trHeight w:val="12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2.2.2 </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样品位数：可同时摆放并处理大于等于60位50ml离心管、大于等于60位15ml dSPE净化管、大于等于60位15ml离心管、大于等于60个2ml色谱瓶、大于等于60个15ml氮吹管，大于等于60个滤膜</w:t>
            </w:r>
          </w:p>
        </w:tc>
      </w:tr>
      <w:tr>
        <w:trPr>
          <w:trHeight w:val="345"/>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2.2.3 </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定位精度：≤1mm</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自动开关盖模块</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可自动完成50mL离心管、15ml离心管、2ml色谱瓶的开关盖工作；同时进行至少2根管子的开关盖</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样品管开盖或者关盖的时间≤5s</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全自动溶剂添加模块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按照设定的添加量，自动添加提取溶剂</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溶剂添加：溶剂添加数量≥6种</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溶剂体积分度值：0.1mL</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添加精度： ≤±1% RSD</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管路材质：</w:t>
            </w:r>
            <w:r>
              <w:rPr>
                <w:rFonts w:ascii="宋体" w:cs="宋体" w:hint="eastAsia"/>
                <w:color w:val="auto"/>
                <w:kern w:val="0"/>
                <w:szCs w:val="24"/>
                <w:lang w:val="en-US" w:eastAsia="zh-CN"/>
                <w:highlight w:val="auto"/>
              </w:rPr>
              <w:t>聚四氟乙烯</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高精度注射泵≥25ml</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精度</w:t>
            </w:r>
            <w:r>
              <w:rPr>
                <w:rFonts w:ascii="宋体" w:cs="宋体" w:hint="eastAsia"/>
                <w:color w:val="auto"/>
                <w:kern w:val="0"/>
                <w:szCs w:val="24"/>
                <w:highlight w:val="auto"/>
              </w:rPr>
              <w:t>≤±1%</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速度1-100</w:t>
            </w:r>
            <w:r>
              <w:rPr>
                <w:rFonts w:ascii="宋体" w:cs="宋体" w:hint="eastAsia"/>
                <w:color w:val="auto"/>
                <w:kern w:val="0"/>
                <w:szCs w:val="24"/>
                <w:highlight w:val="auto"/>
              </w:rPr>
              <w:t>mL</w:t>
            </w:r>
            <w:r>
              <w:rPr>
                <w:rFonts w:ascii="宋体" w:cs="宋体" w:hint="eastAsia"/>
                <w:color w:val="auto"/>
                <w:kern w:val="0"/>
                <w:szCs w:val="24"/>
                <w:lang w:val="en-US" w:eastAsia="zh-CN"/>
                <w:highlight w:val="auto"/>
              </w:rPr>
              <w:t>/分钟</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2.4.7</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有监测管路是否有液体的措施设备</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液体转移模块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液面区分：电导/气压液面检测</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具有液面分析功能。可以自动识别液体液面，从液面逐层取液。</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移液准确度：≤±2%</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自动取液跟随：取液过程中，枪头跟随液面下降速度运动，使枪头插入深度保持唯一</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使用一次性枪头，自动判定枪头取卸状态</w:t>
            </w:r>
          </w:p>
        </w:tc>
      </w:tr>
      <w:tr>
        <w:trPr>
          <w:trHeight w:val="32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一次最大移液量：不小于5ml</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全自动加盐模块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自动添加标准方法所规定的商品化混合盐</w:t>
            </w:r>
          </w:p>
        </w:tc>
      </w:tr>
      <w:tr>
        <w:trPr>
          <w:trHeight w:val="32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加盐量：2g-15g可调</w:t>
            </w:r>
            <w:r>
              <w:rPr>
                <w:rFonts w:hint="eastAsia"/>
                <w:color w:val="auto"/>
                <w:lang w:eastAsia="zh-CN"/>
                <w:highlight w:val="auto"/>
              </w:rPr>
              <w:t>，</w:t>
            </w:r>
            <w:r>
              <w:rPr>
                <w:rFonts w:hint="eastAsia"/>
                <w:color w:val="auto"/>
                <w:lang w:val="en-US" w:eastAsia="zh-CN"/>
                <w:highlight w:val="auto"/>
              </w:rPr>
              <w:t>精度</w:t>
            </w:r>
            <w:r>
              <w:rPr>
                <w:rFonts w:ascii="宋体" w:cs="宋体" w:hint="eastAsia"/>
                <w:color w:val="auto"/>
                <w:kern w:val="0"/>
                <w:szCs w:val="24"/>
                <w:highlight w:val="auto"/>
              </w:rPr>
              <w:t>≤±</w:t>
            </w:r>
            <w:r>
              <w:rPr>
                <w:rFonts w:hint="eastAsia"/>
                <w:color w:val="auto"/>
                <w:lang w:val="en-US" w:eastAsia="zh-CN"/>
                <w:highlight w:val="auto"/>
              </w:rPr>
              <w:t>10%</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加盐模块容量：≥500g</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配备提取盐搅拌功能</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涡旋振荡模块</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旋振荡频率：≥3500次/分钟。</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振荡时间：≥30min。</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涡旋震荡位数：≥2位，双模块，同时兼容≥4个50mL与≥4个15mL样品管的涡旋震荡</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垂直振荡模块</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通过上下垂直振荡，使样品与提取液进行充分的混合，碰撞，让目标化合物进入提取液中。</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振荡频率：≥950次/分钟。</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振荡振幅：≥30mm。</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样品数量：≥4个，可同时兼容50mL与15mL样品管的震荡。</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垂直震荡位数：≥8位，双模块，同时兼容≥8个50mL或≥8个15mL样品管的垂直震荡</w:t>
            </w:r>
          </w:p>
        </w:tc>
      </w:tr>
      <w:tr>
        <w:trPr>
          <w:trHeight w:val="267"/>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离心模块</w:t>
            </w:r>
          </w:p>
        </w:tc>
      </w:tr>
      <w:tr>
        <w:trPr>
          <w:trHeight w:val="653"/>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按照设定的时间，自动完成离心操作。</w:t>
            </w:r>
          </w:p>
        </w:tc>
      </w:tr>
      <w:tr>
        <w:trPr>
          <w:trHeight w:val="24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最大离心速度：≥5000rpm。</w:t>
            </w:r>
          </w:p>
        </w:tc>
      </w:tr>
      <w:tr>
        <w:trPr>
          <w:trHeight w:val="3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最大离心力 ≥3500 RCF。</w:t>
            </w:r>
          </w:p>
        </w:tc>
      </w:tr>
      <w:tr>
        <w:trPr>
          <w:trHeight w:val="3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离心时间：1~99min。</w:t>
            </w:r>
          </w:p>
        </w:tc>
      </w:tr>
      <w:tr>
        <w:trPr>
          <w:trHeight w:val="3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离心位数：≥8位，</w:t>
            </w:r>
            <w:r>
              <w:rPr>
                <w:rFonts w:ascii="宋体" w:cs="宋体" w:hint="eastAsia"/>
                <w:color w:val="auto"/>
                <w:kern w:val="0"/>
                <w:szCs w:val="24"/>
                <w:lang w:val="en-US" w:eastAsia="zh-CN"/>
                <w:highlight w:val="auto"/>
              </w:rPr>
              <w:t>能</w:t>
            </w:r>
            <w:r>
              <w:rPr>
                <w:rFonts w:ascii="宋体" w:cs="宋体" w:hint="eastAsia"/>
                <w:color w:val="auto"/>
                <w:kern w:val="0"/>
                <w:szCs w:val="24"/>
                <w:highlight w:val="auto"/>
              </w:rPr>
              <w:t>同时离心≥4位50mL离心管与≥4位15mL离心管</w:t>
            </w:r>
          </w:p>
        </w:tc>
      </w:tr>
      <w:tr>
        <w:trPr>
          <w:trHeight w:val="34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具有制冷功能，</w:t>
            </w:r>
            <w:r>
              <w:rPr>
                <w:rFonts w:ascii="宋体" w:cs="宋体" w:hint="eastAsia"/>
                <w:color w:val="auto"/>
                <w:kern w:val="0"/>
                <w:szCs w:val="24"/>
                <w:lang w:val="en-US" w:eastAsia="zh-CN"/>
                <w:highlight w:val="auto"/>
              </w:rPr>
              <w:t>在室温25</w:t>
            </w:r>
            <w:r>
              <w:rPr>
                <w:rFonts w:ascii="宋体" w:cs="宋体" w:hint="eastAsia"/>
                <w:color w:val="auto"/>
                <w:kern w:val="0"/>
                <w:szCs w:val="24"/>
                <w:highlight w:val="auto"/>
              </w:rPr>
              <w:t>℃</w:t>
            </w:r>
            <w:r>
              <w:rPr>
                <w:rFonts w:ascii="宋体" w:cs="宋体" w:hint="eastAsia"/>
                <w:color w:val="auto"/>
                <w:kern w:val="0"/>
                <w:szCs w:val="24"/>
                <w:lang w:val="en-US" w:eastAsia="zh-CN"/>
                <w:highlight w:val="auto"/>
              </w:rPr>
              <w:t>情况下</w:t>
            </w:r>
            <w:r>
              <w:rPr>
                <w:rFonts w:ascii="宋体" w:cs="宋体" w:hint="eastAsia"/>
                <w:color w:val="auto"/>
                <w:kern w:val="0"/>
                <w:szCs w:val="24"/>
                <w:highlight w:val="auto"/>
              </w:rPr>
              <w:t>可进行4℃~室温的离心温度设置。</w:t>
            </w:r>
          </w:p>
        </w:tc>
      </w:tr>
      <w:tr>
        <w:trPr>
          <w:trHeight w:val="12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均质子加入模块</w:t>
            </w:r>
            <w:r>
              <w:rPr>
                <w:rFonts w:ascii="宋体" w:cs="宋体" w:hint="eastAsia"/>
                <w:color w:val="auto"/>
                <w:kern w:val="0"/>
                <w:szCs w:val="24"/>
                <w:lang w:eastAsia="zh-CN"/>
                <w:highlight w:val="auto"/>
              </w:rPr>
              <w:t>：</w:t>
            </w:r>
            <w:r>
              <w:rPr>
                <w:rFonts w:ascii="宋体" w:cs="宋体" w:hint="eastAsia"/>
                <w:color w:val="auto"/>
                <w:kern w:val="0"/>
                <w:szCs w:val="24"/>
                <w:highlight w:val="auto"/>
              </w:rPr>
              <w:t>满足方法中要求单独加入均质子的需求；加入的均质子为需不和样品有任何反应，表面光滑震荡过程无碎渣产生；均质子加入数量可控，可以根据不同样品基质或者不同方法加入不同数量的均质子来满足震荡提取的需求</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氮吹浓缩模块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最大样品数量：≥8个。</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氮吹流路数量：≥8路。</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氮吹流路控制方式：每路气体流路单独开关控制。</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最大氮吹流量：单个通道最大气流量≥7L/min。</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加热方式：金属浴（氮吹管尾部不加热）。</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氮气加热功能：有。</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定容模块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定容技术：</w:t>
            </w:r>
            <w:r>
              <w:rPr>
                <w:rFonts w:ascii="宋体" w:cs="宋体" w:hint="eastAsia"/>
                <w:color w:val="auto"/>
                <w:kern w:val="0"/>
                <w:szCs w:val="24"/>
                <w:lang w:val="en-US" w:eastAsia="zh-CN"/>
                <w:highlight w:val="auto"/>
              </w:rPr>
              <w:t>自动定容</w:t>
            </w:r>
            <w:r>
              <w:rPr>
                <w:rFonts w:ascii="宋体" w:cs="宋体" w:hint="eastAsia"/>
                <w:color w:val="auto"/>
                <w:kern w:val="0"/>
                <w:szCs w:val="24"/>
                <w:highlight w:val="auto"/>
              </w:rPr>
              <w:t>。</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定容体积：</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1ml。</w:t>
            </w:r>
            <w:r>
              <w:rPr>
                <w:rFonts w:ascii="宋体" w:cs="宋体" w:hint="eastAsia"/>
                <w:color w:val="auto"/>
                <w:kern w:val="0"/>
                <w:szCs w:val="24"/>
                <w:lang w:val="en-US" w:eastAsia="zh-CN"/>
                <w:highlight w:val="auto"/>
              </w:rPr>
              <w:t>精度</w:t>
            </w:r>
            <w:r>
              <w:rPr>
                <w:rFonts w:ascii="宋体" w:cs="宋体" w:hint="eastAsia"/>
                <w:color w:val="auto"/>
                <w:kern w:val="0"/>
                <w:szCs w:val="24"/>
                <w:highlight w:val="auto"/>
              </w:rPr>
              <w:t>≤±</w:t>
            </w:r>
            <w:r>
              <w:rPr>
                <w:rFonts w:ascii="宋体" w:cs="宋体" w:hint="eastAsia"/>
                <w:color w:val="auto"/>
                <w:kern w:val="0"/>
                <w:szCs w:val="24"/>
                <w:lang w:val="en-US" w:eastAsia="zh-CN"/>
                <w:highlight w:val="auto"/>
              </w:rPr>
              <w:t>0.01ml</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定容溶剂种类：≥6种。</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定容准确度：由容器标定准确度决定。</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过滤模块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可自动过滤样品提取液至2ml色谱瓶。</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一次性移液枪头。</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自动装载滤膜、自动卸载枪头。</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自动过滤样品数量：≥60个</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系统及软件功能</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自带嵌入式彩色触摸屏电脑，也可使用键盘输入</w:t>
            </w:r>
          </w:p>
        </w:tc>
      </w:tr>
      <w:tr>
        <w:trPr>
          <w:trHeight w:val="9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软件可根据实验需要任意添加QuEChERS过程中常用的步骤，同时可以对各个步骤的参数进行编辑；可以根据需求对样品进行序列编辑</w:t>
            </w:r>
          </w:p>
        </w:tc>
      </w:tr>
      <w:tr>
        <w:trPr>
          <w:trHeight w:val="11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系统可实现同一样品，软件自动将净化步骤后的上清液按照需要分成两份，分别完成GB 23200.113、GB 23200.121 QuEChERS前处理的全流程。整个流程，包括提取、净化、氮吹、过滤整个过程无需人工干预</w:t>
            </w:r>
          </w:p>
        </w:tc>
      </w:tr>
      <w:tr>
        <w:trPr>
          <w:trHeight w:val="454"/>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耗材通用性</w:t>
            </w:r>
          </w:p>
        </w:tc>
      </w:tr>
      <w:tr>
        <w:trPr>
          <w:trHeight w:val="6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2.15.1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设备所用耗材：50mL离心管、15mL净化管、15mL样品管是市面通用尺寸。</w:t>
            </w:r>
          </w:p>
        </w:tc>
      </w:tr>
      <w:tr>
        <w:trPr>
          <w:trHeight w:val="282"/>
        </w:trPr>
        <w:tc>
          <w:tcPr>
            <w:tcW w:w="696"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仪器主机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样品管理模块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垂直振荡模块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离心模块  1套（可满足 4 个50mL或15mL离心管同时离心）</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涡旋模块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3.6</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振荡摇粉模块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3.7</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夹爪开关盖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3.8</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液体添加与分取以及固体添加综合模块组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3.9</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lang w:val="en-US" w:eastAsia="zh-CN"/>
                <w:highlight w:val="auto"/>
              </w:rPr>
              <w:t>自动</w:t>
            </w:r>
            <w:r>
              <w:rPr>
                <w:rFonts w:ascii="宋体" w:cs="宋体" w:hint="eastAsia"/>
                <w:color w:val="auto"/>
                <w:kern w:val="0"/>
                <w:szCs w:val="24"/>
                <w:highlight w:val="auto"/>
              </w:rPr>
              <w:t>定容模块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3.10</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全自动过滤模块  1套</w:t>
            </w:r>
          </w:p>
        </w:tc>
      </w:tr>
      <w:tr>
        <w:trPr>
          <w:trHeight w:val="282"/>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3.11</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系统控制平台及配套软件   1套</w:t>
            </w:r>
          </w:p>
        </w:tc>
      </w:tr>
      <w:tr>
        <w:trPr>
          <w:trHeight w:val="1500"/>
        </w:trPr>
        <w:tc>
          <w:tcPr>
            <w:tcW w:w="696" w:type="dxa"/>
            <w:vMerge/>
            <w:tcBorders>
              <w:top w:val="single" w:sz="4" w:space="0" w:color="000000"/>
              <w:left w:val="single" w:sz="4" w:space="0" w:color="000000"/>
              <w:bottom w:val="single" w:sz="4" w:space="0" w:color="000000"/>
              <w:right w:val="single" w:sz="4" w:space="0" w:color="000000"/>
            </w:tcBorders>
            <w:noWrap/>
            <w:vAlign w:val="center"/>
          </w:tcPr>
          <w:p/>
        </w:tc>
        <w:tc>
          <w:tcPr>
            <w:tcW w:w="696" w:type="dxa"/>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W w:w="1065"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3.12</w:t>
            </w:r>
          </w:p>
        </w:tc>
        <w:tc>
          <w:tcPr>
            <w:tcW w:w="6994" w:type="dxa"/>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启动耗材包（50mL离心管 100支；15mL离心管 100支；500g萃取盐包混合填料 2袋；15ml净化管 100支；氧化锆均质子100个/盒 1盒；5ml移液枪头 100支；2ml色谱瓶 100个/盒 2盒；1ml导电滤芯吸头 4盒；0.22um有机滤膜300个；15ml定容管（视觉） 120支。）</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凝胶渗透色谱仪</w:t>
      </w:r>
    </w:p>
    <w:tbl>
      <w:tblPr>
        <w:tblpPr w:leftFromText="180" w:rightFromText="180" w:vertAnchor="text" w:horzAnchor="page" w:tblpX="1449" w:tblpY="562"/>
        <w:tblOverlap w:val="never"/>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95"/>
        <w:gridCol w:w="731"/>
        <w:gridCol w:w="668"/>
        <w:gridCol w:w="6754"/>
      </w:tblGrid>
      <w:tr>
        <w:trPr>
          <w:trHeight w:val="1200"/>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600"/>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用于含油、脂肪等复杂基质样品中痕量、超痕量农药残留/污染物的净化分离。</w:t>
            </w:r>
          </w:p>
        </w:tc>
      </w:tr>
      <w:tr>
        <w:trPr>
          <w:trHeight w:val="900"/>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输液泵采用双柱塞串联设计，最大工作压力≥6000psi，流量范围：0.001-10.000mL/min，可调。流速精度：≤0.8%</w:t>
            </w:r>
            <w:r>
              <w:rPr>
                <w:rFonts w:ascii="宋体" w:cs="宋体" w:hint="eastAsia"/>
                <w:color w:val="auto"/>
                <w:kern w:val="0"/>
                <w:szCs w:val="24"/>
                <w:lang w:eastAsia="zh-CN"/>
                <w:highlight w:val="auto"/>
              </w:rPr>
              <w:t>；</w:t>
            </w:r>
            <w:r>
              <w:rPr>
                <w:rFonts w:hint="eastAsia"/>
                <w:color w:val="auto"/>
                <w:lang w:val="en-US" w:eastAsia="zh-CN"/>
                <w:highlight w:val="auto"/>
              </w:rPr>
              <w:t>步长</w:t>
            </w:r>
            <w:r>
              <w:rPr>
                <w:rFonts w:ascii="宋体" w:eastAsia="宋体" w:cs="宋体" w:hint="eastAsia"/>
                <w:color w:val="auto"/>
                <w:lang w:val="en-US" w:eastAsia="zh-CN"/>
                <w:highlight w:val="auto"/>
              </w:rPr>
              <w:t>：0.01mL/min；压力波动：小于等于1%</w:t>
            </w:r>
            <w:r>
              <w:rPr>
                <w:rFonts w:ascii="宋体" w:eastAsia="宋体" w:cs="宋体" w:hint="eastAsia"/>
                <w:color w:val="auto"/>
                <w:kern w:val="0"/>
                <w:szCs w:val="24"/>
                <w:highlight w:val="auto"/>
              </w:rPr>
              <w:t>（提供产品彩页或技术说明书或官网截图</w:t>
            </w:r>
            <w:r>
              <w:rPr>
                <w:rFonts w:ascii="宋体" w:cs="宋体" w:hint="eastAsia"/>
                <w:color w:val="auto"/>
                <w:kern w:val="0"/>
                <w:szCs w:val="24"/>
                <w:highlight w:val="auto"/>
              </w:rPr>
              <w:t>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10mL注射泵，进样范围0.1mL-10mL，重复性≤±0.1％</w:t>
            </w:r>
            <w:r>
              <w:rPr>
                <w:rFonts w:ascii="宋体" w:cs="宋体" w:hint="eastAsia"/>
                <w:color w:val="auto"/>
                <w:kern w:val="0"/>
                <w:szCs w:val="24"/>
                <w:lang w:eastAsia="zh-CN"/>
                <w:highlight w:val="auto"/>
              </w:rPr>
              <w:t>，步长：0.1mL</w:t>
            </w:r>
            <w:r>
              <w:rPr>
                <w:rFonts w:ascii="宋体" w:cs="宋体" w:hint="eastAsia"/>
                <w:color w:val="auto"/>
                <w:kern w:val="0"/>
                <w:szCs w:val="24"/>
                <w:highlight w:val="auto"/>
              </w:rPr>
              <w:t>。（提供产品彩页或技术说明书或官网截图等证明材料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可调波长紫外检测器，波长范围：190-600nm；波长精度：≤±0.2nm</w:t>
            </w:r>
            <w:r>
              <w:rPr>
                <w:rFonts w:ascii="宋体" w:cs="宋体" w:hint="eastAsia"/>
                <w:color w:val="auto"/>
                <w:kern w:val="0"/>
                <w:szCs w:val="24"/>
                <w:lang w:eastAsia="zh-CN"/>
                <w:highlight w:val="auto"/>
              </w:rPr>
              <w:t>；带宽：0.8nm</w:t>
            </w:r>
            <w:r>
              <w:rPr>
                <w:rFonts w:ascii="宋体" w:cs="宋体" w:hint="eastAsia"/>
                <w:color w:val="auto"/>
                <w:kern w:val="0"/>
                <w:szCs w:val="24"/>
                <w:highlight w:val="auto"/>
              </w:rPr>
              <w:t>。</w:t>
            </w:r>
          </w:p>
        </w:tc>
      </w:tr>
      <w:tr>
        <w:trPr>
          <w:trHeight w:val="9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凝胶净化柱：乙酸乙酯/环己烷体系或二氯甲烷体系，70g填料。</w:t>
            </w:r>
          </w:p>
        </w:tc>
      </w:tr>
      <w:tr>
        <w:trPr>
          <w:trHeight w:val="44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净化柱净化能力：同时分离五种校准液：玉米油、邻苯二甲酸酯、甲氧滴滴涕、二萘嵌苯、硫，要求色谱峰分离度应≥85%，五种校准液净化时间≤25min，溶剂消耗量≤125mL。（要求提供净化谱图作为证明材料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9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配备自动进样器和收集器，并各配XYZ轴机械臂1套，可以实现样品自动进样和收集；并有清洗工作台可对进样针和收集针进行内外壁自动清洗。（要求提供配备2套XYZ轴机械臂实物图作为证明材料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配置≥64位20mL进样架，≥8位200mL和≥48位60mL收集架；可以程序设定任意一个进样位置。</w:t>
            </w:r>
          </w:p>
        </w:tc>
      </w:tr>
      <w:tr>
        <w:trPr>
          <w:trHeight w:val="3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收集器具有扩展功能，可以支持多个收集器并用，可持续收集≥48位60mL样品。</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隔垫穿刺：隔垫穿刺针</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流出物可以通过设定收集程序实现定时收集、连续收集等收集模式，并分配到不同收集瓶。</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支持一键开关机，集成电源供电，实现一键控制泵、检测器、进样器、收集器以及阀系统的启动以及关闭。</w:t>
            </w:r>
          </w:p>
        </w:tc>
      </w:tr>
      <w:tr>
        <w:trPr>
          <w:trHeight w:val="72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工作站可对泵、进样器及组分收集器进行控制。可编辑净化及组分收集程序，可在线控制和在线修改所有参数。</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nil"/>
              <w:left w:val="nil"/>
              <w:bottom w:val="nil"/>
              <w:right w:val="nil"/>
            </w:tcBorders>
            <w:noWrap/>
            <w:vAlign w:val="center"/>
          </w:tcPr>
          <w:p>
            <w:pPr>
              <w:adjustRightInd w:val="0"/>
              <w:snapToGrid w:val="0"/>
              <w:spacing w:line="440" w:lineRule="exac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软件界面实时显示色谱图，具有定时收集、连续收集等收集模式，并分配到设定试管中。</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具有批处理功能，可进行批表编辑、插入、删除、保存、暂停等功能。</w:t>
            </w:r>
          </w:p>
        </w:tc>
      </w:tr>
      <w:tr>
        <w:trPr>
          <w:trHeight w:val="9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具有权限管理和数据溯源功能，可设置3个等级权限，用于实验室不同级别人员仪器操作的管理。具有查看日志及生成报告功能，数据可输出到Word或Excel中进一步处理。</w:t>
            </w:r>
          </w:p>
        </w:tc>
      </w:tr>
      <w:tr>
        <w:trPr>
          <w:trHeight w:val="312"/>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主要配置（主机+配件）</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 1台</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高压恒流输液泵 1台</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190-600nm可调波长紫外检测器  1台</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自动进样器（含≥64位20mL样品架）1套</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自动收集器，含≥8位的200mL收集架和≥48位60mL收集架各1套</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ID20×300mm不锈钢净化柱 1根 </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3.8</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20mL样品瓶/盖/垫（各100个/套）1套</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3.9</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200mL收集浓缩瓶 16个，60mL收集浓缩管50个</w:t>
            </w:r>
          </w:p>
        </w:tc>
      </w:tr>
      <w:tr>
        <w:trPr>
          <w:trHeight w:val="31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3.10</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大屏幕控制系统（含控制软件） 1套</w:t>
            </w:r>
          </w:p>
        </w:tc>
      </w:tr>
      <w:tr>
        <w:trPr>
          <w:trHeight w:val="15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控制电脑1套：配套使用电脑（或工作站）的产品技术指标需满足财库《台式计算机（或工作站）政府采购需求标准（2023年版）》中的星标项“*”指标，投标人提供： 台式计算机（或工作站）产品技术指标需满足财库《台式计算机（或工作站）政府采购需求标准（2023年版）》中的星标项“*”指标的承诺函，格式自拟。</w:t>
            </w:r>
            <w:r>
              <w:rPr>
                <w:rFonts w:ascii="宋体" w:cs="宋体" w:hint="eastAsia"/>
                <w:color w:val="auto"/>
                <w:kern w:val="0"/>
                <w:szCs w:val="24"/>
                <w:lang w:val="en-US" w:eastAsia="zh-CN"/>
                <w:highlight w:val="auto"/>
              </w:rPr>
              <w:t>提供所投产品节能产品认证证书</w:t>
            </w:r>
          </w:p>
        </w:tc>
      </w:tr>
      <w:tr>
        <w:trPr>
          <w:trHeight w:val="679"/>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多功能一体机设备1台（具有彩色自动双面打印、复印、扫描功能）</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提供所投产品节能产品认证证书</w:t>
            </w:r>
          </w:p>
        </w:tc>
      </w:tr>
    </w:tbl>
    <w:p>
      <w:pPr>
        <w:autoSpaceDE w:val="0"/>
        <w:spacing w:line="560" w:lineRule="exact"/>
        <w:jc w:val="both"/>
        <w:rPr>
          <w:rFonts w:ascii="宋体" w:eastAsia="宋体" w:cs="宋体" w:hint="eastAsia"/>
          <w:b/>
          <w:bCs/>
          <w:color w:val="auto"/>
          <w:szCs w:val="28"/>
          <w:lang w:val="en-US" w:eastAsia="zh-CN"/>
          <w:highlight w:val="auto"/>
        </w:rPr>
      </w:pPr>
    </w:p>
    <w:p>
      <w:pPr>
        <w:autoSpaceDE w:val="0"/>
        <w:spacing w:line="560" w:lineRule="exact"/>
        <w:jc w:val="both"/>
        <w:outlineLvl w:val="9"/>
        <w:rPr>
          <w:rFonts w:ascii="宋体" w:eastAsia="宋体" w:cs="宋体" w:hint="eastAsia"/>
          <w:b/>
          <w:bCs/>
          <w:color w:val="auto"/>
          <w:szCs w:val="28"/>
          <w:lang w:val="en-US" w:eastAsia="zh-CN"/>
          <w:highlight w:val="auto"/>
        </w:rPr>
      </w:pP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br w:type="page"/>
        <w:t>B包：</w:t>
      </w: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（一）采购清单</w:t>
      </w:r>
    </w:p>
    <w:tbl>
      <w:tblPr>
        <w:jc w:val="left"/>
        <w:tblInd w:w="0" w:type="dxa"/>
        <w:tblW w:w="4998"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0" w:type="dxa"/>
          <w:left w:w="108" w:type="dxa"/>
          <w:bottom w:w="0" w:type="dxa"/>
          <w:right w:w="108" w:type="dxa"/>
        </w:tblCellMar>
      </w:tblPr>
      <w:tblGrid>
        <w:gridCol w:w="884"/>
        <w:gridCol w:w="3600"/>
        <w:gridCol w:w="1764"/>
        <w:gridCol w:w="1222"/>
        <w:gridCol w:w="1474"/>
      </w:tblGrid>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序号</w:t>
            </w:r>
          </w:p>
        </w:tc>
        <w:tc>
          <w:tcPr>
            <w:tcW w:w="2012"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设备名称</w:t>
            </w:r>
          </w:p>
        </w:tc>
        <w:tc>
          <w:tcPr>
            <w:tcW w:w="986"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数量</w:t>
            </w:r>
          </w:p>
        </w:tc>
        <w:tc>
          <w:tcPr>
            <w:tcW w:w="683"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单位</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备注</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2012"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马弗炉</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7L</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马弗炉</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12L</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3</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高速冷冻离心机（一）</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4</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纯水机</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5</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高速冷冻离心机（二）</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cs="宋体" w:hint="eastAsia"/>
                <w:color w:val="auto"/>
                <w:szCs w:val="24"/>
                <w:highlight w:val="auto"/>
              </w:rPr>
              <w:t>核心产品</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6</w:t>
            </w:r>
          </w:p>
        </w:tc>
        <w:tc>
          <w:tcPr>
            <w:tcW w:w="2012"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马弗炉</w:t>
            </w:r>
          </w:p>
        </w:tc>
        <w:tc>
          <w:tcPr>
            <w:tcW w:w="986"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val="0"/>
              <w:snapToGrid w:val="0"/>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36L</w:t>
            </w:r>
          </w:p>
        </w:tc>
      </w:tr>
    </w:tbl>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（二）技术参数要求</w:t>
      </w: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马弗炉（7L）</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82"/>
        <w:gridCol w:w="964"/>
        <w:gridCol w:w="745"/>
        <w:gridCol w:w="5964"/>
      </w:tblGrid>
      <w:tr>
        <w:trPr>
          <w:trHeight w:val="553"/>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313"/>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用于基准物质的高温前处理及坩埚恒重操作。</w:t>
            </w:r>
          </w:p>
        </w:tc>
      </w:tr>
      <w:tr>
        <w:trPr>
          <w:trHeight w:val="288"/>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双层结构、一体式；</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炉门打开“保护开关”自动启动，主电路停止供电；</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膛体采用耐高温多晶莫来石纤维；</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≥7.0寸触摸屏控制控温仪；</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温度控制系统：温度控制程序≥20段程序表控制，满足曲线（程序）升温；</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炉膛体积：≥7L</w:t>
            </w:r>
          </w:p>
        </w:tc>
      </w:tr>
      <w:tr>
        <w:trPr>
          <w:trHeight w:val="26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最高温度：1600℃</w:t>
            </w:r>
          </w:p>
        </w:tc>
      </w:tr>
      <w:tr>
        <w:trPr>
          <w:trHeight w:val="26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noWrap/>
            <w:vAlign w:val="center"/>
          </w:tcPr>
          <w:p>
            <w:pPr>
              <w:widowControl/>
              <w:adjustRightInd w:val="0"/>
              <w:snapToGrid w:val="0"/>
              <w:spacing w:line="440" w:lineRule="exact"/>
              <w:jc w:val="left"/>
              <w:textAlignment w:val="center"/>
              <w:rPr>
                <w:rFonts w:ascii="宋体" w:eastAsia="宋体" w:cs="宋体" w:hint="eastAsia"/>
                <w:color w:val="auto"/>
                <w:kern w:val="2"/>
                <w:sz w:val="24"/>
                <w:szCs w:val="24"/>
                <w:lang w:val="en-US" w:eastAsia="zh-CN" w:bidi="ar-SA"/>
                <w:highlight w:val="auto"/>
              </w:rPr>
            </w:pPr>
            <w:r>
              <w:rPr>
                <w:rFonts w:ascii="宋体" w:cs="宋体" w:hint="eastAsia"/>
                <w:color w:val="auto"/>
                <w:szCs w:val="24"/>
                <w:lang w:val="en-US" w:eastAsia="zh-CN"/>
                <w:highlight w:val="auto"/>
              </w:rPr>
              <w:t>功率：</w:t>
            </w:r>
            <w:r>
              <w:rPr>
                <w:rFonts w:ascii="宋体" w:cs="宋体" w:hint="eastAsia"/>
                <w:color w:val="auto"/>
                <w:kern w:val="0"/>
                <w:szCs w:val="24"/>
                <w:highlight w:val="auto"/>
              </w:rPr>
              <w:t>≥</w:t>
            </w:r>
            <w:r>
              <w:rPr>
                <w:rFonts w:ascii="宋体" w:cs="宋体" w:hint="eastAsia"/>
                <w:color w:val="auto"/>
                <w:szCs w:val="24"/>
                <w:lang w:val="en-US" w:eastAsia="zh-CN"/>
                <w:highlight w:val="auto"/>
              </w:rPr>
              <w:t>10Kw</w:t>
            </w:r>
          </w:p>
        </w:tc>
      </w:tr>
      <w:tr>
        <w:trPr>
          <w:trHeight w:val="288"/>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noWrap/>
            <w:vAlign w:val="center"/>
          </w:tcPr>
          <w:p>
            <w:pPr>
              <w:widowControl/>
              <w:adjustRightInd w:val="0"/>
              <w:snapToGrid w:val="0"/>
              <w:spacing w:line="440" w:lineRule="exact"/>
              <w:jc w:val="left"/>
              <w:textAlignment w:val="center"/>
              <w:rPr>
                <w:rFonts w:ascii="宋体" w:cs="宋体"/>
                <w:color w:val="auto"/>
                <w:kern w:val="2"/>
                <w:sz w:val="24"/>
                <w:szCs w:val="24"/>
                <w:lang w:val="en-US" w:eastAsia="zh-CN" w:bidi="ar-SA"/>
                <w:highlight w:val="auto"/>
              </w:rPr>
            </w:pPr>
            <w:r>
              <w:rPr>
                <w:rFonts w:ascii="宋体" w:cs="宋体" w:hint="eastAsia"/>
                <w:color w:val="auto"/>
                <w:kern w:val="0"/>
                <w:szCs w:val="24"/>
                <w:highlight w:val="auto"/>
              </w:rPr>
              <w:t>加热器：耐高温硅钼棒</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传感器：双铂铑热电偶</w:t>
            </w:r>
          </w:p>
        </w:tc>
      </w:tr>
      <w:tr>
        <w:trPr>
          <w:trHeight w:val="288"/>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kern w:val="0"/>
                <w:szCs w:val="24"/>
                <w:highlight w:val="auto"/>
              </w:rPr>
            </w:pPr>
          </w:p>
        </w:tc>
        <w:tc>
          <w:tcPr>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2.10</w:t>
            </w:r>
          </w:p>
        </w:tc>
        <w:tc>
          <w:tcPr>
            <w:noWrap/>
            <w:vAlign w:val="center"/>
          </w:tcPr>
          <w:p>
            <w:pPr>
              <w:widowControl/>
              <w:adjustRightInd w:val="0"/>
              <w:snapToGrid w:val="0"/>
              <w:spacing w:line="440" w:lineRule="exact"/>
              <w:jc w:val="left"/>
              <w:textAlignment w:val="center"/>
              <w:rPr>
                <w:rFonts w:ascii="宋体" w:cs="宋体"/>
                <w:color w:val="auto"/>
                <w:kern w:val="0"/>
                <w:sz w:val="24"/>
                <w:szCs w:val="24"/>
                <w:lang w:val="en-US" w:eastAsia="zh-CN"/>
                <w:highlight w:val="auto"/>
              </w:rPr>
            </w:pPr>
            <w:r>
              <w:rPr>
                <w:rFonts w:ascii="宋体" w:cs="宋体" w:hint="eastAsia"/>
                <w:color w:val="auto"/>
                <w:kern w:val="0"/>
                <w:szCs w:val="24"/>
                <w:lang w:val="en-US" w:eastAsia="zh-CN"/>
                <w:highlight w:val="auto"/>
              </w:rPr>
              <w:t>具备冷端补偿功能</w:t>
            </w:r>
          </w:p>
        </w:tc>
      </w:tr>
      <w:tr>
        <w:trPr>
          <w:trHeight w:val="288"/>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3.2</w:t>
            </w:r>
          </w:p>
        </w:tc>
        <w:tc>
          <w:tcPr>
            <w:noWrap/>
            <w:vAlign w:val="center"/>
          </w:tcPr>
          <w:p>
            <w:pPr>
              <w:widowControl/>
              <w:adjustRightInd w:val="0"/>
              <w:snapToGrid w:val="0"/>
              <w:spacing w:line="440" w:lineRule="exact"/>
              <w:jc w:val="left"/>
              <w:textAlignment w:val="center"/>
              <w:rPr>
                <w:rFonts w:ascii="宋体" w:cs="宋体"/>
                <w:color w:val="auto"/>
                <w:kern w:val="0"/>
                <w:szCs w:val="24"/>
                <w:lang w:val="en-US"/>
                <w:highlight w:val="auto"/>
              </w:rPr>
            </w:pPr>
            <w:r>
              <w:rPr>
                <w:rFonts w:ascii="宋体" w:cs="宋体" w:hint="eastAsia"/>
                <w:color w:val="auto"/>
                <w:kern w:val="0"/>
                <w:szCs w:val="24"/>
                <w:lang w:val="en-US" w:eastAsia="zh-CN"/>
                <w:highlight w:val="auto"/>
              </w:rPr>
              <w:t>传感器3套</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3</w:t>
            </w:r>
          </w:p>
        </w:tc>
        <w:tc>
          <w:tcPr>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坩埚钳、防护手套、垫砖、炉架各1套；</w:t>
            </w:r>
          </w:p>
        </w:tc>
      </w:tr>
      <w:tr>
        <w:trPr>
          <w:trHeight w:val="28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eastAsia="宋体" w:cs="宋体" w:hint="eastAsia"/>
                <w:color w:val="auto"/>
                <w:kern w:val="0"/>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4</w:t>
            </w:r>
          </w:p>
        </w:tc>
        <w:tc>
          <w:tcPr>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炉腔：配置</w:t>
            </w:r>
            <w:r>
              <w:rPr>
                <w:rFonts w:ascii="宋体" w:cs="宋体" w:hint="eastAsia"/>
                <w:color w:val="auto"/>
                <w:kern w:val="0"/>
                <w:szCs w:val="24"/>
                <w:lang w:val="en-US" w:eastAsia="zh-CN"/>
                <w:highlight w:val="auto"/>
              </w:rPr>
              <w:t>3</w:t>
            </w:r>
            <w:r>
              <w:rPr>
                <w:rFonts w:ascii="宋体" w:cs="宋体" w:hint="eastAsia"/>
                <w:color w:val="auto"/>
                <w:kern w:val="0"/>
                <w:szCs w:val="24"/>
                <w:highlight w:val="auto"/>
              </w:rPr>
              <w:t>套；</w:t>
            </w:r>
            <w:r>
              <w:rPr>
                <w:rFonts w:ascii="宋体" w:cs="宋体" w:hint="eastAsia"/>
                <w:color w:val="auto"/>
                <w:kern w:val="0"/>
                <w:szCs w:val="24"/>
                <w:lang w:val="en-US" w:eastAsia="zh-CN"/>
                <w:highlight w:val="auto"/>
              </w:rPr>
              <w:t>相应配套设施（如适配变压器）</w:t>
            </w:r>
            <w:r>
              <w:rPr>
                <w:rFonts w:ascii="宋体" w:cs="宋体" w:hint="eastAsia"/>
                <w:color w:val="auto"/>
                <w:kern w:val="0"/>
                <w:szCs w:val="24"/>
                <w:highlight w:val="auto"/>
              </w:rPr>
              <w:t>1套。</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br w:type="page"/>
        <w:t>马弗炉（12L）</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93"/>
        <w:gridCol w:w="696"/>
        <w:gridCol w:w="698"/>
        <w:gridCol w:w="6568"/>
      </w:tblGrid>
      <w:tr>
        <w:trPr>
          <w:trHeight w:val="553"/>
        </w:trPr>
        <w:tc>
          <w:tcPr>
            <w:tcW w:w="134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W w:w="69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W w:w="656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313"/>
        </w:trPr>
        <w:tc>
          <w:tcPr>
            <w:tcW w:w="134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用于矿样、化工产品、合金等样品的高温熔融前处理。</w:t>
            </w:r>
          </w:p>
        </w:tc>
      </w:tr>
      <w:tr>
        <w:trPr>
          <w:trHeight w:val="288"/>
        </w:trPr>
        <w:tc>
          <w:tcPr>
            <w:tcW w:w="1346" w:type="dxa"/>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双层结构、一体式；</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炉门打开“保护开关”自动启动，主电路停止供电；</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膛体采用耐高温多晶莫来石纤维；</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≥7.0寸触摸屏控制控温仪；</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温度控制系统：温度控制程序≥20段程序表控制，满足曲线（程序）升温；</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炉膛体积：≥</w:t>
            </w:r>
            <w:r>
              <w:rPr>
                <w:rFonts w:ascii="宋体" w:cs="宋体" w:hint="eastAsia"/>
                <w:color w:val="auto"/>
                <w:kern w:val="0"/>
                <w:szCs w:val="24"/>
                <w:lang w:val="en-US" w:eastAsia="zh-CN"/>
                <w:highlight w:val="auto"/>
              </w:rPr>
              <w:t>12</w:t>
            </w:r>
            <w:r>
              <w:rPr>
                <w:rFonts w:ascii="宋体" w:cs="宋体" w:hint="eastAsia"/>
                <w:color w:val="auto"/>
                <w:kern w:val="0"/>
                <w:szCs w:val="24"/>
                <w:highlight w:val="auto"/>
              </w:rPr>
              <w:t>L</w:t>
            </w:r>
          </w:p>
        </w:tc>
      </w:tr>
      <w:tr>
        <w:trPr>
          <w:trHeight w:val="260"/>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最高温度：1600℃</w:t>
            </w:r>
          </w:p>
        </w:tc>
      </w:tr>
      <w:tr>
        <w:trPr>
          <w:trHeight w:val="260"/>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W w:w="6568" w:type="dxa"/>
            <w:noWrap/>
            <w:vAlign w:val="center"/>
          </w:tcPr>
          <w:p>
            <w:pPr>
              <w:widowControl/>
              <w:adjustRightInd w:val="0"/>
              <w:snapToGrid w:val="0"/>
              <w:spacing w:line="440" w:lineRule="exact"/>
              <w:jc w:val="left"/>
              <w:textAlignment w:val="center"/>
              <w:rPr>
                <w:rFonts w:ascii="宋体" w:eastAsia="宋体" w:cs="宋体" w:hint="eastAsia"/>
                <w:color w:val="auto"/>
                <w:kern w:val="2"/>
                <w:sz w:val="24"/>
                <w:szCs w:val="24"/>
                <w:lang w:val="en-US" w:eastAsia="zh-CN" w:bidi="ar-SA"/>
                <w:highlight w:val="auto"/>
              </w:rPr>
            </w:pPr>
            <w:r>
              <w:rPr>
                <w:rFonts w:ascii="宋体" w:cs="宋体" w:hint="eastAsia"/>
                <w:color w:val="auto"/>
                <w:szCs w:val="24"/>
                <w:lang w:val="en-US" w:eastAsia="zh-CN"/>
                <w:highlight w:val="auto"/>
              </w:rPr>
              <w:t>功率：</w:t>
            </w:r>
            <w:r>
              <w:rPr>
                <w:rFonts w:ascii="宋体" w:cs="宋体" w:hint="eastAsia"/>
                <w:color w:val="auto"/>
                <w:kern w:val="0"/>
                <w:szCs w:val="24"/>
                <w:highlight w:val="auto"/>
              </w:rPr>
              <w:t>≥</w:t>
            </w:r>
            <w:r>
              <w:rPr>
                <w:rFonts w:ascii="宋体" w:cs="宋体" w:hint="eastAsia"/>
                <w:color w:val="auto"/>
                <w:szCs w:val="24"/>
                <w:lang w:val="en-US" w:eastAsia="zh-CN"/>
                <w:highlight w:val="auto"/>
              </w:rPr>
              <w:t>12Kw</w:t>
            </w:r>
          </w:p>
        </w:tc>
      </w:tr>
      <w:tr>
        <w:trPr>
          <w:trHeight w:val="288"/>
        </w:trPr>
        <w:tc>
          <w:tcPr>
            <w:tcW w:w="1346" w:type="dxa"/>
            <w:vMerge/>
            <w:noWrap/>
            <w:vAlign w:val="center"/>
          </w:tcPr>
          <w:p/>
        </w:tc>
        <w:tc>
          <w:tcPr>
            <w:tcW w:w="69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W w:w="6568" w:type="dxa"/>
            <w:noWrap/>
            <w:vAlign w:val="center"/>
          </w:tcPr>
          <w:p>
            <w:pPr>
              <w:widowControl/>
              <w:adjustRightInd w:val="0"/>
              <w:snapToGrid w:val="0"/>
              <w:spacing w:line="440" w:lineRule="exact"/>
              <w:jc w:val="left"/>
              <w:textAlignment w:val="center"/>
              <w:rPr>
                <w:rFonts w:ascii="宋体" w:cs="宋体"/>
                <w:color w:val="auto"/>
                <w:kern w:val="2"/>
                <w:sz w:val="24"/>
                <w:szCs w:val="24"/>
                <w:lang w:val="en-US" w:eastAsia="zh-CN" w:bidi="ar-SA"/>
                <w:highlight w:val="auto"/>
              </w:rPr>
            </w:pPr>
            <w:r>
              <w:rPr>
                <w:rFonts w:ascii="宋体" w:cs="宋体" w:hint="eastAsia"/>
                <w:color w:val="auto"/>
                <w:kern w:val="0"/>
                <w:szCs w:val="24"/>
                <w:highlight w:val="auto"/>
              </w:rPr>
              <w:t>加热器：耐高温硅钼棒</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传感器：双铂铑热电偶</w:t>
            </w:r>
          </w:p>
        </w:tc>
      </w:tr>
      <w:tr>
        <w:trPr>
          <w:trHeight w:val="288"/>
        </w:trPr>
        <w:tc>
          <w:tcPr>
            <w:tcW w:w="1346" w:type="dxa"/>
            <w:vMerge/>
            <w:noWrap/>
            <w:vAlign w:val="center"/>
          </w:tcPr>
          <w:p/>
        </w:tc>
        <w:tc>
          <w:tcPr>
            <w:tcW w:w="696" w:type="dxa"/>
            <w:noWrap/>
            <w:vAlign w:val="center"/>
          </w:tcPr>
          <w:p>
            <w:pPr>
              <w:widowControl/>
              <w:adjustRightInd w:val="0"/>
              <w:snapToGrid w:val="0"/>
              <w:spacing w:line="440" w:lineRule="exact"/>
              <w:jc w:val="center"/>
              <w:textAlignment w:val="center"/>
              <w:rPr>
                <w:rFonts w:ascii="宋体" w:cs="宋体" w:hint="eastAsia"/>
                <w:color w:val="auto"/>
                <w:kern w:val="0"/>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2.10</w:t>
            </w:r>
          </w:p>
        </w:tc>
        <w:tc>
          <w:tcPr>
            <w:tcW w:w="6568" w:type="dxa"/>
            <w:noWrap/>
            <w:vAlign w:val="center"/>
          </w:tcPr>
          <w:p>
            <w:pPr>
              <w:widowControl/>
              <w:adjustRightInd w:val="0"/>
              <w:snapToGrid w:val="0"/>
              <w:spacing w:line="440" w:lineRule="exact"/>
              <w:jc w:val="left"/>
              <w:textAlignment w:val="center"/>
              <w:rPr>
                <w:rFonts w:ascii="宋体" w:cs="宋体"/>
                <w:color w:val="auto"/>
                <w:kern w:val="0"/>
                <w:sz w:val="24"/>
                <w:szCs w:val="24"/>
                <w:lang w:val="en-US" w:eastAsia="zh-CN"/>
                <w:highlight w:val="auto"/>
              </w:rPr>
            </w:pPr>
            <w:r>
              <w:rPr>
                <w:rFonts w:ascii="宋体" w:cs="宋体" w:hint="eastAsia"/>
                <w:color w:val="auto"/>
                <w:kern w:val="0"/>
                <w:szCs w:val="24"/>
                <w:lang w:val="en-US" w:eastAsia="zh-CN"/>
                <w:highlight w:val="auto"/>
              </w:rPr>
              <w:t>具备冷端补偿功能</w:t>
            </w:r>
          </w:p>
        </w:tc>
      </w:tr>
      <w:tr>
        <w:trPr>
          <w:trHeight w:val="288"/>
        </w:trPr>
        <w:tc>
          <w:tcPr>
            <w:tcW w:w="1346" w:type="dxa"/>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3.2</w:t>
            </w:r>
          </w:p>
        </w:tc>
        <w:tc>
          <w:tcPr>
            <w:tcW w:w="6568" w:type="dxa"/>
            <w:noWrap/>
            <w:vAlign w:val="center"/>
          </w:tcPr>
          <w:p>
            <w:pPr>
              <w:widowControl/>
              <w:adjustRightInd w:val="0"/>
              <w:snapToGrid w:val="0"/>
              <w:spacing w:line="440" w:lineRule="exact"/>
              <w:jc w:val="left"/>
              <w:textAlignment w:val="center"/>
              <w:rPr>
                <w:rFonts w:ascii="宋体" w:cs="宋体"/>
                <w:color w:val="auto"/>
                <w:kern w:val="0"/>
                <w:szCs w:val="24"/>
                <w:lang w:val="en-US"/>
                <w:highlight w:val="auto"/>
              </w:rPr>
            </w:pPr>
            <w:r>
              <w:rPr>
                <w:rFonts w:ascii="宋体" w:cs="宋体" w:hint="eastAsia"/>
                <w:color w:val="auto"/>
                <w:kern w:val="0"/>
                <w:szCs w:val="24"/>
                <w:lang w:val="en-US" w:eastAsia="zh-CN"/>
                <w:highlight w:val="auto"/>
              </w:rPr>
              <w:t>传感器3套</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3</w:t>
            </w:r>
          </w:p>
        </w:tc>
        <w:tc>
          <w:tcPr>
            <w:tcW w:w="6568" w:type="dxa"/>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坩埚钳、防护手套、垫砖、炉架各1套；</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hint="eastAsia"/>
                <w:color w:val="auto"/>
                <w:kern w:val="0"/>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4</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炉腔：配置</w:t>
            </w:r>
            <w:r>
              <w:rPr>
                <w:rFonts w:ascii="宋体" w:cs="宋体" w:hint="eastAsia"/>
                <w:color w:val="auto"/>
                <w:kern w:val="0"/>
                <w:szCs w:val="24"/>
                <w:lang w:val="en-US" w:eastAsia="zh-CN"/>
                <w:highlight w:val="auto"/>
              </w:rPr>
              <w:t>3</w:t>
            </w:r>
            <w:r>
              <w:rPr>
                <w:rFonts w:ascii="宋体" w:cs="宋体" w:hint="eastAsia"/>
                <w:color w:val="auto"/>
                <w:kern w:val="0"/>
                <w:szCs w:val="24"/>
                <w:highlight w:val="auto"/>
              </w:rPr>
              <w:t>套；</w:t>
            </w:r>
            <w:r>
              <w:rPr>
                <w:rFonts w:ascii="宋体" w:cs="宋体" w:hint="eastAsia"/>
                <w:color w:val="auto"/>
                <w:kern w:val="0"/>
                <w:szCs w:val="24"/>
                <w:lang w:val="en-US" w:eastAsia="zh-CN"/>
                <w:highlight w:val="auto"/>
              </w:rPr>
              <w:t>相应配套设施（如适配变压器）</w:t>
            </w:r>
            <w:r>
              <w:rPr>
                <w:rFonts w:ascii="宋体" w:cs="宋体" w:hint="eastAsia"/>
                <w:color w:val="auto"/>
                <w:kern w:val="0"/>
                <w:szCs w:val="24"/>
                <w:highlight w:val="auto"/>
              </w:rPr>
              <w:t>1套。</w:t>
            </w:r>
          </w:p>
        </w:tc>
      </w:tr>
    </w:tbl>
    <w:p>
      <w:pPr>
        <w:autoSpaceDE w:val="0"/>
        <w:spacing w:line="560" w:lineRule="exact"/>
        <w:jc w:val="both"/>
        <w:outlineLvl w:val="4"/>
        <w:rPr>
          <w:rFonts w:ascii="宋体" w:eastAsia="宋体" w:cs="宋体" w:hint="eastAsia"/>
          <w:b/>
          <w:bCs/>
          <w:color w:val="auto"/>
          <w:szCs w:val="28"/>
          <w:lang w:val="en-US" w:eastAsia="zh-CN"/>
          <w:highlight w:val="auto"/>
        </w:rPr>
      </w:pP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高速冷冻离心机（一）</w:t>
      </w:r>
    </w:p>
    <w:tbl>
      <w:tblPr>
        <w:jc w:val="left"/>
        <w:tblInd w:w="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73"/>
        <w:gridCol w:w="1018"/>
        <w:gridCol w:w="763"/>
        <w:gridCol w:w="5894"/>
      </w:tblGrid>
      <w:tr>
        <w:trPr>
          <w:trHeight w:val="563"/>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600"/>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用于对进出口食品、化妆品、农产品等法检样本中的特定成分进行离心分离。</w:t>
            </w:r>
          </w:p>
        </w:tc>
      </w:tr>
      <w:tr>
        <w:trPr>
          <w:trHeight w:val="282"/>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最高转速≥ 20000r/min（提供产品产品彩页或技术说明书等证明材料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最大离心力：≥36000×g（提供产品产品彩页或技术说明书等证明材料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转子可识别、具有不平衡、超速、门盖等多种保护功能。</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最大容量：角转子≥6×100ml，水平转子≥4×250ml</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2.5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时间控制范围：0-99小时 / 连续运转</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温度设定范围：</w:t>
            </w:r>
            <w:r>
              <w:rPr>
                <w:rFonts w:ascii="宋体" w:cs="宋体" w:hint="eastAsia"/>
                <w:color w:val="auto"/>
                <w:kern w:val="0"/>
                <w:szCs w:val="24"/>
                <w:lang w:val="en-US" w:eastAsia="zh-CN"/>
                <w:highlight w:val="auto"/>
              </w:rPr>
              <w:t>在室温25</w:t>
            </w:r>
            <w:r>
              <w:rPr>
                <w:rFonts w:ascii="宋体" w:cs="宋体" w:hint="eastAsia"/>
                <w:color w:val="auto"/>
                <w:kern w:val="0"/>
                <w:szCs w:val="24"/>
                <w:highlight w:val="auto"/>
              </w:rPr>
              <w:t>℃</w:t>
            </w:r>
            <w:r>
              <w:rPr>
                <w:rFonts w:ascii="宋体" w:cs="宋体" w:hint="eastAsia"/>
                <w:color w:val="auto"/>
                <w:kern w:val="0"/>
                <w:szCs w:val="24"/>
                <w:lang w:val="en-US" w:eastAsia="zh-CN"/>
                <w:highlight w:val="auto"/>
              </w:rPr>
              <w:t>下</w:t>
            </w:r>
            <w:r>
              <w:rPr>
                <w:rFonts w:ascii="宋体" w:cs="宋体" w:hint="eastAsia"/>
                <w:color w:val="auto"/>
                <w:kern w:val="0"/>
                <w:szCs w:val="24"/>
                <w:highlight w:val="auto"/>
              </w:rPr>
              <w:t>满足-20℃至+40℃</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噪音(dBA)：</w:t>
            </w:r>
            <w:r>
              <w:rPr>
                <w:rFonts w:ascii="宋体" w:cs="宋体" w:hint="eastAsia"/>
                <w:color w:val="auto"/>
                <w:kern w:val="0"/>
                <w:szCs w:val="24"/>
                <w:lang w:val="en-US" w:eastAsia="zh-CN"/>
                <w:highlight w:val="auto"/>
              </w:rPr>
              <w:t xml:space="preserve">≤ </w:t>
            </w:r>
            <w:r>
              <w:rPr>
                <w:rFonts w:ascii="宋体" w:cs="宋体" w:hint="eastAsia"/>
                <w:color w:val="auto"/>
                <w:kern w:val="0"/>
                <w:szCs w:val="24"/>
                <w:highlight w:val="auto"/>
              </w:rPr>
              <w:t>66dBA （最大转速时）；</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具有可存储常用程序功能，可存储程序数≥6个，并可快捷调用，同时具备快捷预冷程序。</w:t>
            </w:r>
          </w:p>
        </w:tc>
      </w:tr>
      <w:tr>
        <w:trPr>
          <w:trHeight w:val="3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nil"/>
              <w:left w:val="nil"/>
              <w:bottom w:val="nil"/>
              <w:right w:val="nil"/>
            </w:tcBorders>
            <w:noWrap/>
            <w:vAlign w:val="center"/>
          </w:tcPr>
          <w:p>
            <w:pPr>
              <w:adjustRightInd w:val="0"/>
              <w:snapToGrid w:val="0"/>
              <w:spacing w:line="440" w:lineRule="exac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控制系统：可以同时显示设定和实际温度、速度、时间；可设定运行条件和运行参数。</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自动性能：可选择在离心结束之后自动开盖；可选择在离心结束时声音提醒功能。</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可供选择的转子数量≥15个。</w:t>
            </w:r>
          </w:p>
        </w:tc>
      </w:tr>
      <w:tr>
        <w:trPr>
          <w:trHeight w:val="282"/>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角转6×50ml（转速≥14000r/min），1个；</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角转48×2.0ml（转速≥15000r/min），1个；</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角转12×15ml（转速≥11800r/min），1个；</w:t>
            </w:r>
          </w:p>
        </w:tc>
      </w:tr>
      <w:tr>
        <w:trPr>
          <w:trHeight w:val="28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与角转匹配的PP离心管，3种规格各500个。</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纯水机</w:t>
      </w:r>
    </w:p>
    <w:tbl>
      <w:tblPr>
        <w:jc w:val="left"/>
        <w:tblInd w:w="0" w:type="dxa"/>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39"/>
        <w:gridCol w:w="1160"/>
        <w:gridCol w:w="646"/>
        <w:gridCol w:w="5399"/>
      </w:tblGrid>
      <w:tr>
        <w:trPr>
          <w:trHeight w:val="578"/>
        </w:trPr>
        <w:tc>
          <w:tcPr>
            <w:tcW w:w="972"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W w:w="648"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W w:w="361"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W w:w="3017"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578"/>
        </w:trPr>
        <w:tc>
          <w:tcPr>
            <w:tcW w:w="972"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系统是以自来水为进水，生产制备RO纯水，用来清洗及设备进水。</w:t>
            </w:r>
          </w:p>
        </w:tc>
      </w:tr>
      <w:tr>
        <w:trPr>
          <w:trHeight w:val="285"/>
        </w:trPr>
        <w:tc>
          <w:tcPr>
            <w:tcW w:w="972" w:type="pct"/>
            <w:vMerge w:val="restar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W w:w="648"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产水类型：RO反渗透纯水</w:t>
            </w:r>
          </w:p>
        </w:tc>
      </w:tr>
      <w:tr>
        <w:trPr>
          <w:trHeight w:val="345"/>
        </w:trPr>
        <w:tc>
          <w:tcPr>
            <w:tcW w:w="972" w:type="pct"/>
            <w:vMerge/>
            <w:noWrap/>
            <w:vAlign w:val="center"/>
          </w:tcPr>
          <w:p/>
        </w:tc>
        <w:tc>
          <w:tcPr>
            <w:tcW w:w="648"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产水</w:t>
            </w:r>
            <w:r>
              <w:rPr>
                <w:rFonts w:ascii="宋体" w:cs="宋体" w:hint="eastAsia"/>
                <w:color w:val="auto"/>
                <w:kern w:val="0"/>
                <w:szCs w:val="24"/>
                <w:lang w:eastAsia="zh-CN"/>
                <w:highlight w:val="auto"/>
              </w:rPr>
              <w:t>速率≥</w:t>
            </w:r>
            <w:r>
              <w:rPr>
                <w:rFonts w:ascii="宋体" w:cs="宋体" w:hint="eastAsia"/>
                <w:color w:val="auto"/>
                <w:kern w:val="0"/>
                <w:szCs w:val="24"/>
                <w:highlight w:val="auto"/>
              </w:rPr>
              <w:t>40 L/h</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纯水存储容量≥50 L</w:t>
            </w:r>
          </w:p>
        </w:tc>
      </w:tr>
      <w:tr>
        <w:trPr>
          <w:trHeight w:val="882"/>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W w:w="3017" w:type="pct"/>
            <w:noWrap/>
            <w:vAlign w:val="center"/>
          </w:tcPr>
          <w:p>
            <w:pPr>
              <w:widowControl/>
              <w:adjustRightInd/>
              <w:snapToGrid/>
              <w:spacing w:line="240" w:lineRule="auto"/>
              <w:jc w:val="left"/>
              <w:textAlignment w:val="auto"/>
              <w:rPr>
                <w:rFonts w:ascii="宋体" w:cs="宋体" w:hint="eastAsia"/>
                <w:color w:val="auto"/>
                <w:szCs w:val="24"/>
                <w:highlight w:val="auto"/>
              </w:rPr>
            </w:pPr>
            <w:r>
              <w:rPr>
                <w:rFonts w:ascii="宋体" w:cs="宋体" w:hint="eastAsia"/>
                <w:color w:val="auto"/>
                <w:kern w:val="0"/>
                <w:szCs w:val="24"/>
                <w:highlight w:val="auto"/>
              </w:rPr>
              <w:t>纯水循环回路在水箱注水前及机器空闲时自动循环冲洗。（提供产品彩页或技术说明书或官网截图等证明材料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578"/>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RO纯化柱到达使用期限后机器会自动提示更换，无需手动设定提醒时间。</w:t>
            </w:r>
          </w:p>
        </w:tc>
      </w:tr>
      <w:tr>
        <w:trPr>
          <w:trHeight w:val="563"/>
        </w:trPr>
        <w:tc>
          <w:tcPr>
            <w:tcW w:w="972" w:type="pct"/>
            <w:vMerge/>
            <w:noWrap/>
            <w:vAlign w:val="center"/>
          </w:tcPr>
          <w:p/>
        </w:tc>
        <w:tc>
          <w:tcPr>
            <w:tcW w:w="648"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 xml:space="preserve"> </w:t>
            </w: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RO纯化柱外观有明显的颜色标识。</w:t>
            </w:r>
          </w:p>
        </w:tc>
      </w:tr>
      <w:tr>
        <w:trPr>
          <w:trHeight w:val="578"/>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操作界面采用的彩色LED指示灯及触摸键组成。</w:t>
            </w:r>
          </w:p>
        </w:tc>
      </w:tr>
      <w:tr>
        <w:trPr>
          <w:trHeight w:val="274"/>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W w:w="3017" w:type="pct"/>
            <w:noWrap/>
            <w:vAlign w:val="center"/>
          </w:tcPr>
          <w:p>
            <w:pPr>
              <w:widowControl/>
              <w:adjustRightInd/>
              <w:snapToGrid/>
              <w:spacing w:line="240" w:lineRule="auto"/>
              <w:jc w:val="left"/>
              <w:textAlignment w:val="auto"/>
              <w:rPr>
                <w:rFonts w:ascii="宋体" w:cs="宋体" w:hint="eastAsia"/>
                <w:color w:val="auto"/>
                <w:szCs w:val="24"/>
                <w:highlight w:val="auto"/>
              </w:rPr>
            </w:pPr>
            <w:r>
              <w:rPr>
                <w:rFonts w:ascii="宋体" w:cs="宋体" w:hint="eastAsia"/>
                <w:color w:val="auto"/>
                <w:kern w:val="0"/>
                <w:szCs w:val="24"/>
                <w:highlight w:val="auto"/>
              </w:rPr>
              <w:t>标配≥3.5L便捷PP水箱。</w:t>
            </w:r>
          </w:p>
        </w:tc>
      </w:tr>
      <w:tr>
        <w:trPr>
          <w:trHeight w:val="274"/>
        </w:trPr>
        <w:tc>
          <w:tcPr>
            <w:tcW w:w="972" w:type="pct"/>
            <w:vMerge/>
            <w:noWrap/>
            <w:vAlign w:val="center"/>
          </w:tcPr>
          <w:p/>
        </w:tc>
        <w:tc>
          <w:tcPr>
            <w:tcW w:w="648" w:type="pc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产水质量满足GB/T 6682</w:t>
            </w:r>
            <w:r>
              <w:rPr>
                <w:rFonts w:ascii="宋体" w:cs="宋体" w:hint="eastAsia"/>
                <w:color w:val="auto"/>
                <w:kern w:val="0"/>
                <w:szCs w:val="24"/>
                <w:lang w:eastAsia="zh-CN"/>
                <w:highlight w:val="auto"/>
              </w:rPr>
              <w:t>三</w:t>
            </w:r>
            <w:r>
              <w:rPr>
                <w:rFonts w:ascii="宋体" w:cs="宋体" w:hint="eastAsia"/>
                <w:color w:val="auto"/>
                <w:kern w:val="0"/>
                <w:szCs w:val="24"/>
                <w:highlight w:val="auto"/>
              </w:rPr>
              <w:t>级水要求。</w:t>
            </w:r>
          </w:p>
        </w:tc>
      </w:tr>
      <w:tr>
        <w:trPr>
          <w:trHeight w:val="473"/>
        </w:trPr>
        <w:tc>
          <w:tcPr>
            <w:tcW w:w="972" w:type="pct"/>
            <w:vMerge w:val="restar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纯水系统 1套</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超滤预处理系统  1套</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RO 纯化柱  1根</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预处理柱   3根</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RO预处理系统 1套</w:t>
            </w:r>
          </w:p>
        </w:tc>
      </w:tr>
      <w:tr>
        <w:trPr>
          <w:trHeight w:val="28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3.6</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预处理RO纯化柱 3根</w:t>
            </w:r>
          </w:p>
        </w:tc>
      </w:tr>
      <w:tr>
        <w:trPr>
          <w:trHeight w:val="398"/>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3.7</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≥3.5L</w:t>
            </w:r>
            <w:r>
              <w:rPr>
                <w:rFonts w:ascii="宋体" w:cs="宋体" w:hint="eastAsia"/>
                <w:color w:val="auto"/>
                <w:kern w:val="0"/>
                <w:szCs w:val="24"/>
                <w:lang w:eastAsia="zh-CN"/>
                <w:highlight w:val="auto"/>
              </w:rPr>
              <w:t>便捷</w:t>
            </w:r>
            <w:r>
              <w:rPr>
                <w:rFonts w:ascii="宋体" w:cs="宋体" w:hint="eastAsia"/>
                <w:color w:val="auto"/>
                <w:kern w:val="0"/>
                <w:szCs w:val="24"/>
                <w:highlight w:val="auto"/>
              </w:rPr>
              <w:t>水箱  1个</w:t>
            </w:r>
          </w:p>
        </w:tc>
      </w:tr>
      <w:tr>
        <w:trPr>
          <w:trHeight w:val="405"/>
        </w:trPr>
        <w:tc>
          <w:tcPr>
            <w:tcW w:w="972" w:type="pct"/>
            <w:vMerge/>
            <w:noWrap/>
            <w:vAlign w:val="center"/>
          </w:tcPr>
          <w:p/>
        </w:tc>
        <w:tc>
          <w:tcPr>
            <w:tcW w:w="648" w:type="pct"/>
            <w:noWrap/>
            <w:vAlign w:val="center"/>
          </w:tcPr>
          <w:p>
            <w:pPr>
              <w:adjustRightInd w:val="0"/>
              <w:snapToGrid w:val="0"/>
              <w:spacing w:line="440" w:lineRule="exact"/>
              <w:jc w:val="center"/>
              <w:rPr>
                <w:rFonts w:ascii="宋体" w:cs="宋体" w:hint="eastAsia"/>
                <w:color w:val="auto"/>
                <w:szCs w:val="24"/>
                <w:highlight w:val="auto"/>
              </w:rPr>
            </w:pPr>
          </w:p>
        </w:tc>
        <w:tc>
          <w:tcPr>
            <w:tcW w:w="361"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3.8</w:t>
            </w:r>
          </w:p>
        </w:tc>
        <w:tc>
          <w:tcPr>
            <w:tcW w:w="3017" w:type="pc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≥50L水箱  1个</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高速冷冻离心机（二）</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64"/>
        <w:gridCol w:w="998"/>
        <w:gridCol w:w="787"/>
        <w:gridCol w:w="5906"/>
      </w:tblGrid>
      <w:tr>
        <w:trPr>
          <w:trHeight w:val="550"/>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Style w:val="42"/>
                <w:rFonts w:ascii="宋体" w:eastAsia="宋体" w:cs="宋体" w:hint="eastAsia"/>
                <w:color w:val="auto"/>
                <w:sz w:val="24"/>
                <w:szCs w:val="24"/>
                <w:highlight w:val="auto"/>
              </w:rPr>
              <w:t>序号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Style w:val="42"/>
                <w:rFonts w:ascii="宋体" w:eastAsia="宋体" w:cs="宋体" w:hint="eastAsia"/>
                <w:color w:val="auto"/>
                <w:sz w:val="24"/>
                <w:szCs w:val="24"/>
                <w:highlight w:val="auto"/>
              </w:rPr>
              <w:t>指标类型</w:t>
            </w:r>
            <w:r>
              <w:rPr>
                <w:rFonts w:ascii="宋体" w:cs="宋体" w:hint="eastAsia"/>
                <w:color w:val="auto"/>
                <w:kern w:val="0"/>
                <w:szCs w:val="24"/>
                <w:highlight w:val="auto"/>
              </w:rPr>
              <w:br/>
              <w:t>"</w:t>
            </w:r>
            <w:r>
              <w:rPr>
                <w:rStyle w:val="42"/>
                <w:rFonts w:ascii="宋体" w:eastAsia="宋体" w:cs="宋体" w:hint="eastAsia"/>
                <w:color w:val="auto"/>
                <w:sz w:val="24"/>
                <w:szCs w:val="24"/>
                <w:highlight w:val="auto"/>
              </w:rPr>
              <w:t>★</w:t>
            </w:r>
            <w:r>
              <w:rPr>
                <w:rFonts w:ascii="宋体" w:cs="宋体" w:hint="eastAsia"/>
                <w:color w:val="auto"/>
                <w:kern w:val="0"/>
                <w:szCs w:val="24"/>
                <w:highlight w:val="auto"/>
              </w:rPr>
              <w:t>"</w:t>
            </w:r>
            <w:r>
              <w:rPr>
                <w:rStyle w:val="42"/>
                <w:rFonts w:ascii="宋体" w:eastAsia="宋体" w:cs="宋体" w:hint="eastAsia"/>
                <w:color w:val="auto"/>
                <w:sz w:val="24"/>
                <w:szCs w:val="24"/>
                <w:highlight w:val="auto"/>
              </w:rPr>
              <w:t>或</w:t>
            </w: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Style w:val="42"/>
                <w:rFonts w:ascii="宋体" w:eastAsia="宋体" w:cs="宋体" w:hint="eastAsia"/>
                <w:color w:val="auto"/>
                <w:sz w:val="24"/>
                <w:szCs w:val="24"/>
                <w:highlight w:val="auto"/>
              </w:rPr>
              <w:t>条款号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Style w:val="42"/>
                <w:rFonts w:ascii="宋体" w:eastAsia="宋体" w:cs="宋体" w:hint="eastAsia"/>
                <w:color w:val="auto"/>
                <w:sz w:val="24"/>
                <w:szCs w:val="24"/>
                <w:highlight w:val="auto"/>
              </w:rPr>
              <w:t>技术指标内容</w:t>
            </w:r>
          </w:p>
        </w:tc>
      </w:tr>
      <w:tr>
        <w:trPr>
          <w:trHeight w:val="300"/>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用于对食品、化妆品、农产品等法检样本中的特定成分进行离心分离。</w:t>
            </w:r>
          </w:p>
        </w:tc>
      </w:tr>
      <w:tr>
        <w:trPr>
          <w:trHeight w:val="288"/>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转速≥20000 rpm，精度</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±1</w:t>
            </w:r>
            <w:r>
              <w:rPr>
                <w:rFonts w:ascii="宋体" w:cs="宋体" w:hint="eastAsia"/>
                <w:color w:val="auto"/>
                <w:kern w:val="0"/>
                <w:szCs w:val="24"/>
                <w:lang w:val="en-US" w:eastAsia="zh-CN"/>
                <w:highlight w:val="auto"/>
              </w:rPr>
              <w:t>0</w:t>
            </w:r>
            <w:r>
              <w:rPr>
                <w:rFonts w:ascii="宋体" w:cs="宋体" w:hint="eastAsia"/>
                <w:color w:val="auto"/>
                <w:kern w:val="0"/>
                <w:szCs w:val="24"/>
                <w:highlight w:val="auto"/>
              </w:rPr>
              <w:t>rpm；</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最大容量(ml)：角转子6 x 85ml /水平转子4×200ml；</w:t>
            </w:r>
          </w:p>
        </w:tc>
      </w:tr>
      <w:tr>
        <w:trPr>
          <w:trHeight w:val="288"/>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Style w:val="31"/>
                <w:rFonts w:ascii="宋体" w:eastAsia="宋体" w:cs="宋体" w:hint="eastAsia"/>
                <w:color w:val="auto"/>
                <w:sz w:val="24"/>
                <w:szCs w:val="24"/>
                <w:highlight w:val="auto"/>
              </w:rPr>
              <w:t>最大离心力</w:t>
            </w:r>
            <w:r>
              <w:rPr>
                <w:rStyle w:val="30"/>
                <w:rFonts w:ascii="宋体" w:cs="宋体" w:hint="eastAsia"/>
                <w:color w:val="auto"/>
                <w:sz w:val="24"/>
                <w:szCs w:val="24"/>
                <w:highlight w:val="auto"/>
              </w:rPr>
              <w:t>(</w:t>
            </w:r>
            <w:r>
              <w:rPr>
                <w:rStyle w:val="28"/>
                <w:rFonts w:ascii="宋体" w:eastAsia="宋体" w:cs="宋体" w:hint="eastAsia"/>
                <w:color w:val="auto"/>
                <w:sz w:val="24"/>
                <w:szCs w:val="24"/>
                <w:highlight w:val="auto"/>
              </w:rPr>
              <w:t>×</w:t>
            </w:r>
            <w:r>
              <w:rPr>
                <w:rStyle w:val="30"/>
                <w:rFonts w:ascii="宋体" w:cs="宋体" w:hint="eastAsia"/>
                <w:color w:val="auto"/>
                <w:sz w:val="24"/>
                <w:szCs w:val="24"/>
                <w:highlight w:val="auto"/>
              </w:rPr>
              <w:t xml:space="preserve"> g)</w:t>
            </w:r>
            <w:r>
              <w:rPr>
                <w:rFonts w:ascii="宋体" w:cs="宋体" w:hint="eastAsia"/>
                <w:color w:val="auto"/>
                <w:kern w:val="0"/>
                <w:szCs w:val="24"/>
                <w:highlight w:val="auto"/>
              </w:rPr>
              <w:t>：≥</w:t>
            </w:r>
            <w:r>
              <w:rPr>
                <w:rStyle w:val="30"/>
                <w:rFonts w:ascii="宋体" w:cs="宋体" w:hint="eastAsia"/>
                <w:color w:val="auto"/>
                <w:sz w:val="24"/>
                <w:szCs w:val="24"/>
                <w:highlight w:val="auto"/>
              </w:rPr>
              <w:t>36000</w:t>
            </w:r>
            <w:r>
              <w:rPr>
                <w:rFonts w:ascii="宋体" w:cs="宋体" w:hint="eastAsia"/>
                <w:color w:val="auto"/>
                <w:kern w:val="0"/>
                <w:szCs w:val="24"/>
                <w:highlight w:val="auto"/>
              </w:rPr>
              <w:t>；</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时间控制范围：0-9</w:t>
            </w:r>
            <w:r>
              <w:rPr>
                <w:rFonts w:ascii="宋体" w:cs="宋体" w:hint="eastAsia"/>
                <w:color w:val="auto"/>
                <w:kern w:val="0"/>
                <w:szCs w:val="24"/>
                <w:lang w:val="en-US" w:eastAsia="zh-CN"/>
                <w:highlight w:val="auto"/>
              </w:rPr>
              <w:t>9</w:t>
            </w:r>
            <w:r>
              <w:rPr>
                <w:rFonts w:ascii="宋体" w:cs="宋体" w:hint="eastAsia"/>
                <w:color w:val="auto"/>
                <w:kern w:val="0"/>
                <w:szCs w:val="24"/>
                <w:highlight w:val="auto"/>
              </w:rPr>
              <w:t>小时 / 连续运转；</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噪音(dBA)：</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 xml:space="preserve"> 66dBA （最大转速时）；</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noWrap/>
            <w:vAlign w:val="center"/>
          </w:tcPr>
          <w:p>
            <w:pPr>
              <w:widowControl/>
              <w:adjustRightInd/>
              <w:snapToGrid/>
              <w:spacing w:line="240" w:lineRule="auto"/>
              <w:jc w:val="left"/>
              <w:textAlignment w:val="auto"/>
              <w:rPr>
                <w:rFonts w:ascii="宋体" w:cs="宋体" w:hint="eastAsia"/>
                <w:color w:val="auto"/>
                <w:szCs w:val="24"/>
                <w:highlight w:val="auto"/>
              </w:rPr>
            </w:pPr>
            <w:r>
              <w:rPr>
                <w:rFonts w:ascii="宋体" w:cs="宋体" w:hint="eastAsia"/>
                <w:color w:val="auto"/>
                <w:kern w:val="0"/>
                <w:szCs w:val="24"/>
                <w:highlight w:val="auto"/>
              </w:rPr>
              <w:t>≥20种加速及减速曲线及10个程序记忆功能；</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温度控制范围：</w:t>
            </w:r>
            <w:r>
              <w:rPr>
                <w:rFonts w:ascii="宋体" w:cs="宋体" w:hint="eastAsia"/>
                <w:color w:val="auto"/>
                <w:kern w:val="0"/>
                <w:szCs w:val="24"/>
                <w:lang w:val="en-US" w:eastAsia="zh-CN"/>
                <w:highlight w:val="auto"/>
              </w:rPr>
              <w:t>在室温25</w:t>
            </w:r>
            <w:r>
              <w:rPr>
                <w:rFonts w:ascii="宋体" w:cs="宋体" w:hint="eastAsia"/>
                <w:color w:val="auto"/>
                <w:kern w:val="0"/>
                <w:szCs w:val="24"/>
                <w:highlight w:val="auto"/>
              </w:rPr>
              <w:t>℃</w:t>
            </w:r>
            <w:r>
              <w:rPr>
                <w:rFonts w:ascii="宋体" w:cs="宋体" w:hint="eastAsia"/>
                <w:color w:val="auto"/>
                <w:kern w:val="0"/>
                <w:szCs w:val="24"/>
                <w:lang w:val="en-US" w:eastAsia="zh-CN"/>
                <w:highlight w:val="auto"/>
              </w:rPr>
              <w:t>下</w:t>
            </w:r>
            <w:r>
              <w:rPr>
                <w:rStyle w:val="30"/>
                <w:rFonts w:ascii="宋体" w:cs="宋体" w:hint="eastAsia"/>
                <w:color w:val="auto"/>
                <w:sz w:val="24"/>
                <w:szCs w:val="24"/>
                <w:highlight w:val="auto"/>
              </w:rPr>
              <w:t>-20~40℃</w:t>
            </w:r>
            <w:r>
              <w:rPr>
                <w:rFonts w:ascii="宋体" w:cs="宋体" w:hint="eastAsia"/>
                <w:color w:val="auto"/>
                <w:kern w:val="0"/>
                <w:szCs w:val="24"/>
                <w:highlight w:val="auto"/>
              </w:rPr>
              <w:t>；</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转子可识别、具有不平衡、超速、门盖等多种保护功能</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免维护无碳刷变频电机；</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微控制器可预设离心力、速度、转头、时间和温度。</w:t>
            </w:r>
          </w:p>
        </w:tc>
      </w:tr>
      <w:tr>
        <w:trPr>
          <w:trHeight w:val="288"/>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角转6×50ml（转速≥14000r/min），1个；</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角转12×15ml（转速≥11800r/min），1个；</w:t>
            </w:r>
          </w:p>
        </w:tc>
      </w:tr>
      <w:tr>
        <w:trPr>
          <w:trHeight w:val="288"/>
        </w:trPr>
        <w:tc>
          <w:tcPr>
            <w:vMerge/>
            <w:noWrap/>
            <w:vAlign w:val="center"/>
          </w:tc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Style w:val="31"/>
                <w:rFonts w:ascii="宋体" w:eastAsia="宋体" w:cs="宋体" w:hint="eastAsia"/>
                <w:color w:val="auto"/>
                <w:sz w:val="24"/>
                <w:szCs w:val="24"/>
                <w:highlight w:val="auto"/>
              </w:rPr>
              <w:t>角转</w:t>
            </w:r>
            <w:r>
              <w:rPr>
                <w:rStyle w:val="30"/>
                <w:rFonts w:ascii="宋体" w:cs="宋体" w:hint="eastAsia"/>
                <w:color w:val="auto"/>
                <w:sz w:val="24"/>
                <w:szCs w:val="24"/>
                <w:highlight w:val="auto"/>
              </w:rPr>
              <w:t>48×2.0ml</w:t>
            </w:r>
            <w:r>
              <w:rPr>
                <w:rStyle w:val="31"/>
                <w:rFonts w:ascii="宋体" w:eastAsia="宋体" w:cs="宋体" w:hint="eastAsia"/>
                <w:color w:val="auto"/>
                <w:sz w:val="24"/>
                <w:szCs w:val="24"/>
                <w:highlight w:val="auto"/>
              </w:rPr>
              <w:t>（转速≥</w:t>
            </w:r>
            <w:r>
              <w:rPr>
                <w:rStyle w:val="30"/>
                <w:rFonts w:ascii="宋体" w:cs="宋体" w:hint="eastAsia"/>
                <w:color w:val="auto"/>
                <w:sz w:val="24"/>
                <w:szCs w:val="24"/>
                <w:highlight w:val="auto"/>
              </w:rPr>
              <w:t>15000r/min</w:t>
            </w:r>
            <w:r>
              <w:rPr>
                <w:rStyle w:val="31"/>
                <w:rFonts w:ascii="宋体" w:eastAsia="宋体" w:cs="宋体" w:hint="eastAsia"/>
                <w:color w:val="auto"/>
                <w:sz w:val="24"/>
                <w:szCs w:val="24"/>
                <w:highlight w:val="auto"/>
              </w:rPr>
              <w:t>），</w:t>
            </w:r>
            <w:r>
              <w:rPr>
                <w:rStyle w:val="30"/>
                <w:rFonts w:ascii="宋体" w:cs="宋体" w:hint="eastAsia"/>
                <w:color w:val="auto"/>
                <w:sz w:val="24"/>
                <w:szCs w:val="24"/>
                <w:highlight w:val="auto"/>
              </w:rPr>
              <w:t>1</w:t>
            </w:r>
            <w:r>
              <w:rPr>
                <w:rStyle w:val="31"/>
                <w:rFonts w:ascii="宋体" w:eastAsia="宋体" w:cs="宋体" w:hint="eastAsia"/>
                <w:color w:val="auto"/>
                <w:sz w:val="24"/>
                <w:szCs w:val="24"/>
                <w:highlight w:val="auto"/>
              </w:rPr>
              <w:t>个；</w:t>
            </w:r>
          </w:p>
        </w:tc>
      </w:tr>
      <w:tr>
        <w:trPr>
          <w:trHeight w:val="300"/>
        </w:trPr>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Style w:val="31"/>
                <w:rFonts w:ascii="宋体" w:eastAsia="宋体" w:cs="宋体" w:hint="eastAsia"/>
                <w:color w:val="auto"/>
                <w:sz w:val="24"/>
                <w:szCs w:val="24"/>
                <w:highlight w:val="auto"/>
              </w:rPr>
              <w:t>与角转匹配的</w:t>
            </w:r>
            <w:r>
              <w:rPr>
                <w:rStyle w:val="30"/>
                <w:rFonts w:ascii="宋体" w:cs="宋体" w:hint="eastAsia"/>
                <w:color w:val="auto"/>
                <w:sz w:val="24"/>
                <w:szCs w:val="24"/>
                <w:highlight w:val="auto"/>
              </w:rPr>
              <w:t>PP</w:t>
            </w:r>
            <w:r>
              <w:rPr>
                <w:rStyle w:val="31"/>
                <w:rFonts w:ascii="宋体" w:eastAsia="宋体" w:cs="宋体" w:hint="eastAsia"/>
                <w:color w:val="auto"/>
                <w:sz w:val="24"/>
                <w:szCs w:val="24"/>
                <w:highlight w:val="auto"/>
              </w:rPr>
              <w:t>离心管，</w:t>
            </w:r>
            <w:r>
              <w:rPr>
                <w:rStyle w:val="30"/>
                <w:rFonts w:ascii="宋体" w:cs="宋体" w:hint="eastAsia"/>
                <w:color w:val="auto"/>
                <w:sz w:val="24"/>
                <w:szCs w:val="24"/>
                <w:highlight w:val="auto"/>
              </w:rPr>
              <w:t>3</w:t>
            </w:r>
            <w:r>
              <w:rPr>
                <w:rStyle w:val="31"/>
                <w:rFonts w:ascii="宋体" w:eastAsia="宋体" w:cs="宋体" w:hint="eastAsia"/>
                <w:color w:val="auto"/>
                <w:sz w:val="24"/>
                <w:szCs w:val="24"/>
                <w:highlight w:val="auto"/>
              </w:rPr>
              <w:t>种规格各</w:t>
            </w:r>
            <w:r>
              <w:rPr>
                <w:rStyle w:val="30"/>
                <w:rFonts w:ascii="宋体" w:cs="宋体" w:hint="eastAsia"/>
                <w:color w:val="auto"/>
                <w:sz w:val="24"/>
                <w:szCs w:val="24"/>
                <w:highlight w:val="auto"/>
              </w:rPr>
              <w:t>500</w:t>
            </w:r>
            <w:r>
              <w:rPr>
                <w:rStyle w:val="31"/>
                <w:rFonts w:ascii="宋体" w:eastAsia="宋体" w:cs="宋体" w:hint="eastAsia"/>
                <w:color w:val="auto"/>
                <w:sz w:val="24"/>
                <w:szCs w:val="24"/>
                <w:highlight w:val="auto"/>
              </w:rPr>
              <w:t>个。</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马弗炉（36L）</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93"/>
        <w:gridCol w:w="696"/>
        <w:gridCol w:w="698"/>
        <w:gridCol w:w="6568"/>
      </w:tblGrid>
      <w:tr>
        <w:trPr>
          <w:trHeight w:val="553"/>
        </w:trPr>
        <w:tc>
          <w:tcPr>
            <w:tcW w:w="134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W w:w="69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W w:w="656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313"/>
        </w:trPr>
        <w:tc>
          <w:tcPr>
            <w:tcW w:w="134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用于饲料、食品类样品的高温熔融前处理。</w:t>
            </w:r>
          </w:p>
        </w:tc>
      </w:tr>
      <w:tr>
        <w:trPr>
          <w:trHeight w:val="288"/>
        </w:trPr>
        <w:tc>
          <w:tcPr>
            <w:tcW w:w="1346" w:type="dxa"/>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双层结构、一体式；</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炉门打开“保护开关”自动启动，主电路停止供电；</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膛体采用耐高温多晶莫来石纤维；</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≥7.0寸触摸屏控制控温仪；</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温度控制系统：温度控制程序≥20段程序表控制，满足曲线（程序）升温；</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炉膛体积：≥</w:t>
            </w:r>
            <w:r>
              <w:rPr>
                <w:rFonts w:ascii="宋体" w:cs="宋体" w:hint="eastAsia"/>
                <w:color w:val="auto"/>
                <w:kern w:val="0"/>
                <w:szCs w:val="24"/>
                <w:lang w:val="en-US" w:eastAsia="zh-CN"/>
                <w:highlight w:val="auto"/>
              </w:rPr>
              <w:t>36</w:t>
            </w:r>
            <w:r>
              <w:rPr>
                <w:rFonts w:ascii="宋体" w:cs="宋体" w:hint="eastAsia"/>
                <w:color w:val="auto"/>
                <w:kern w:val="0"/>
                <w:szCs w:val="24"/>
                <w:highlight w:val="auto"/>
              </w:rPr>
              <w:t>L</w:t>
            </w:r>
          </w:p>
        </w:tc>
      </w:tr>
      <w:tr>
        <w:trPr>
          <w:trHeight w:val="260"/>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2"/>
                <w:sz w:val="24"/>
                <w:szCs w:val="24"/>
                <w:lang w:val="en-US" w:eastAsia="zh-CN" w:bidi="ar-SA"/>
                <w:highlight w:val="auto"/>
              </w:rPr>
            </w:pPr>
            <w:r>
              <w:rPr>
                <w:rFonts w:ascii="宋体" w:cs="宋体" w:hint="eastAsia"/>
                <w:color w:val="auto"/>
                <w:kern w:val="0"/>
                <w:szCs w:val="24"/>
                <w:highlight w:val="auto"/>
              </w:rPr>
              <w:t>最高温度：1600℃</w:t>
            </w:r>
          </w:p>
        </w:tc>
      </w:tr>
      <w:tr>
        <w:trPr>
          <w:trHeight w:val="260"/>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W w:w="6568" w:type="dxa"/>
            <w:noWrap/>
            <w:vAlign w:val="center"/>
          </w:tcPr>
          <w:p>
            <w:pPr>
              <w:widowControl/>
              <w:adjustRightInd w:val="0"/>
              <w:snapToGrid w:val="0"/>
              <w:spacing w:line="440" w:lineRule="exact"/>
              <w:jc w:val="left"/>
              <w:textAlignment w:val="center"/>
              <w:rPr>
                <w:rFonts w:ascii="宋体" w:eastAsia="宋体" w:cs="宋体" w:hint="eastAsia"/>
                <w:color w:val="auto"/>
                <w:kern w:val="2"/>
                <w:sz w:val="24"/>
                <w:szCs w:val="24"/>
                <w:lang w:val="en-US" w:eastAsia="zh-CN" w:bidi="ar-SA"/>
                <w:highlight w:val="auto"/>
              </w:rPr>
            </w:pPr>
            <w:r>
              <w:rPr>
                <w:rFonts w:ascii="宋体" w:cs="宋体" w:hint="eastAsia"/>
                <w:color w:val="auto"/>
                <w:szCs w:val="24"/>
                <w:lang w:val="en-US" w:eastAsia="zh-CN"/>
                <w:highlight w:val="auto"/>
              </w:rPr>
              <w:t>功率：</w:t>
            </w:r>
            <w:r>
              <w:rPr>
                <w:rFonts w:ascii="宋体" w:cs="宋体" w:hint="eastAsia"/>
                <w:color w:val="auto"/>
                <w:kern w:val="0"/>
                <w:szCs w:val="24"/>
                <w:highlight w:val="auto"/>
              </w:rPr>
              <w:t>≥</w:t>
            </w:r>
            <w:r>
              <w:rPr>
                <w:rFonts w:ascii="宋体" w:cs="宋体" w:hint="eastAsia"/>
                <w:color w:val="auto"/>
                <w:szCs w:val="24"/>
                <w:lang w:val="en-US" w:eastAsia="zh-CN"/>
                <w:highlight w:val="auto"/>
              </w:rPr>
              <w:t>15Kw</w:t>
            </w:r>
          </w:p>
        </w:tc>
      </w:tr>
      <w:tr>
        <w:trPr>
          <w:trHeight w:val="288"/>
        </w:trPr>
        <w:tc>
          <w:tcPr>
            <w:tcW w:w="1346" w:type="dxa"/>
            <w:vMerge/>
            <w:noWrap/>
            <w:vAlign w:val="center"/>
          </w:tcPr>
          <w:p/>
        </w:tc>
        <w:tc>
          <w:tcPr>
            <w:tcW w:w="69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W w:w="6568" w:type="dxa"/>
            <w:noWrap/>
            <w:vAlign w:val="center"/>
          </w:tcPr>
          <w:p>
            <w:pPr>
              <w:widowControl/>
              <w:adjustRightInd w:val="0"/>
              <w:snapToGrid w:val="0"/>
              <w:spacing w:line="440" w:lineRule="exact"/>
              <w:jc w:val="left"/>
              <w:textAlignment w:val="center"/>
              <w:rPr>
                <w:rFonts w:ascii="宋体" w:cs="宋体"/>
                <w:color w:val="auto"/>
                <w:kern w:val="2"/>
                <w:sz w:val="24"/>
                <w:szCs w:val="24"/>
                <w:lang w:val="en-US" w:eastAsia="zh-CN" w:bidi="ar-SA"/>
                <w:highlight w:val="auto"/>
              </w:rPr>
            </w:pPr>
            <w:r>
              <w:rPr>
                <w:rFonts w:ascii="宋体" w:cs="宋体" w:hint="eastAsia"/>
                <w:color w:val="auto"/>
                <w:kern w:val="0"/>
                <w:szCs w:val="24"/>
                <w:highlight w:val="auto"/>
              </w:rPr>
              <w:t>加热器：耐高温硅钼棒</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传感器：双铂铑热电偶</w:t>
            </w:r>
          </w:p>
        </w:tc>
      </w:tr>
      <w:tr>
        <w:trPr>
          <w:trHeight w:val="288"/>
        </w:trPr>
        <w:tc>
          <w:tcPr>
            <w:tcW w:w="1346" w:type="dxa"/>
            <w:vMerge/>
            <w:noWrap/>
            <w:vAlign w:val="center"/>
          </w:tcPr>
          <w:p/>
        </w:tc>
        <w:tc>
          <w:tcPr>
            <w:tcW w:w="696" w:type="dxa"/>
            <w:noWrap/>
            <w:vAlign w:val="center"/>
          </w:tcPr>
          <w:p>
            <w:pPr>
              <w:widowControl/>
              <w:adjustRightInd w:val="0"/>
              <w:snapToGrid w:val="0"/>
              <w:spacing w:line="440" w:lineRule="exact"/>
              <w:jc w:val="center"/>
              <w:textAlignment w:val="center"/>
              <w:rPr>
                <w:rFonts w:ascii="宋体" w:cs="宋体" w:hint="eastAsia"/>
                <w:color w:val="auto"/>
                <w:kern w:val="0"/>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2.10</w:t>
            </w:r>
          </w:p>
        </w:tc>
        <w:tc>
          <w:tcPr>
            <w:tcW w:w="6568" w:type="dxa"/>
            <w:noWrap/>
            <w:vAlign w:val="center"/>
          </w:tcPr>
          <w:p>
            <w:pPr>
              <w:widowControl/>
              <w:adjustRightInd w:val="0"/>
              <w:snapToGrid w:val="0"/>
              <w:spacing w:line="440" w:lineRule="exact"/>
              <w:jc w:val="left"/>
              <w:textAlignment w:val="center"/>
              <w:rPr>
                <w:rFonts w:ascii="宋体" w:cs="宋体"/>
                <w:color w:val="auto"/>
                <w:kern w:val="0"/>
                <w:sz w:val="24"/>
                <w:szCs w:val="24"/>
                <w:lang w:val="en-US" w:eastAsia="zh-CN"/>
                <w:highlight w:val="auto"/>
              </w:rPr>
            </w:pPr>
            <w:r>
              <w:rPr>
                <w:rFonts w:ascii="宋体" w:cs="宋体" w:hint="eastAsia"/>
                <w:color w:val="auto"/>
                <w:kern w:val="0"/>
                <w:szCs w:val="24"/>
                <w:lang w:val="en-US" w:eastAsia="zh-CN"/>
                <w:highlight w:val="auto"/>
              </w:rPr>
              <w:t>具备冷端补偿功能</w:t>
            </w:r>
          </w:p>
        </w:tc>
      </w:tr>
      <w:tr>
        <w:trPr>
          <w:trHeight w:val="288"/>
        </w:trPr>
        <w:tc>
          <w:tcPr>
            <w:tcW w:w="1346" w:type="dxa"/>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W w:w="656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3.2</w:t>
            </w:r>
          </w:p>
        </w:tc>
        <w:tc>
          <w:tcPr>
            <w:tcW w:w="6568" w:type="dxa"/>
            <w:noWrap/>
            <w:vAlign w:val="center"/>
          </w:tcPr>
          <w:p>
            <w:pPr>
              <w:widowControl/>
              <w:adjustRightInd w:val="0"/>
              <w:snapToGrid w:val="0"/>
              <w:spacing w:line="440" w:lineRule="exact"/>
              <w:jc w:val="left"/>
              <w:textAlignment w:val="center"/>
              <w:rPr>
                <w:rFonts w:ascii="宋体" w:cs="宋体"/>
                <w:color w:val="auto"/>
                <w:kern w:val="0"/>
                <w:szCs w:val="24"/>
                <w:lang w:val="en-US"/>
                <w:highlight w:val="auto"/>
              </w:rPr>
            </w:pPr>
            <w:r>
              <w:rPr>
                <w:rFonts w:ascii="宋体" w:cs="宋体" w:hint="eastAsia"/>
                <w:color w:val="auto"/>
                <w:kern w:val="0"/>
                <w:szCs w:val="24"/>
                <w:lang w:val="en-US" w:eastAsia="zh-CN"/>
                <w:highlight w:val="auto"/>
              </w:rPr>
              <w:t>传感器3套</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3</w:t>
            </w:r>
          </w:p>
        </w:tc>
        <w:tc>
          <w:tcPr>
            <w:tcW w:w="6568" w:type="dxa"/>
            <w:noWrap/>
            <w:vAlign w:val="center"/>
          </w:tcPr>
          <w:p>
            <w:pPr>
              <w:widowControl/>
              <w:adjustRightInd w:val="0"/>
              <w:snapToGrid w:val="0"/>
              <w:spacing w:line="440" w:lineRule="exact"/>
              <w:jc w:val="left"/>
              <w:textAlignment w:val="center"/>
              <w:rPr>
                <w:rFonts w:ascii="宋体" w:eastAsia="宋体" w:cs="宋体"/>
                <w:color w:val="auto"/>
                <w:szCs w:val="24"/>
                <w:lang w:val="en-US" w:eastAsia="zh-CN"/>
                <w:highlight w:val="auto"/>
              </w:rPr>
            </w:pPr>
            <w:r>
              <w:rPr>
                <w:rFonts w:ascii="宋体" w:cs="宋体" w:hint="eastAsia"/>
                <w:color w:val="auto"/>
                <w:kern w:val="0"/>
                <w:szCs w:val="24"/>
                <w:highlight w:val="auto"/>
              </w:rPr>
              <w:t>坩埚钳、防护手套、垫砖、炉架各1套；</w:t>
            </w:r>
          </w:p>
        </w:tc>
      </w:tr>
      <w:tr>
        <w:trPr>
          <w:trHeight w:val="288"/>
        </w:trPr>
        <w:tc>
          <w:tcPr>
            <w:tcW w:w="1346" w:type="dxa"/>
            <w:vMerge/>
            <w:noWrap/>
            <w:vAlign w:val="center"/>
          </w:tcPr>
          <w:p/>
        </w:tc>
        <w:tc>
          <w:tcPr>
            <w:tcW w:w="696" w:type="dxa"/>
            <w:noWrap/>
            <w:vAlign w:val="center"/>
          </w:tcPr>
          <w:p>
            <w:pPr>
              <w:adjustRightInd w:val="0"/>
              <w:snapToGrid w:val="0"/>
              <w:spacing w:line="440" w:lineRule="exact"/>
              <w:jc w:val="center"/>
              <w:rPr>
                <w:rFonts w:ascii="宋体" w:cs="宋体" w:hint="eastAsia"/>
                <w:color w:val="auto"/>
                <w:szCs w:val="24"/>
                <w:highlight w:val="auto"/>
              </w:rPr>
            </w:pPr>
          </w:p>
        </w:tc>
        <w:tc>
          <w:tcPr>
            <w:tcW w:w="698" w:type="dxa"/>
            <w:noWrap/>
            <w:vAlign w:val="center"/>
          </w:tcPr>
          <w:p>
            <w:pPr>
              <w:widowControl/>
              <w:adjustRightInd w:val="0"/>
              <w:snapToGrid w:val="0"/>
              <w:spacing w:line="440" w:lineRule="exact"/>
              <w:jc w:val="center"/>
              <w:textAlignment w:val="center"/>
              <w:rPr>
                <w:rFonts w:ascii="宋体" w:eastAsia="宋体" w:cs="宋体" w:hint="eastAsia"/>
                <w:color w:val="auto"/>
                <w:kern w:val="0"/>
                <w:szCs w:val="24"/>
                <w:lang w:eastAsia="zh-CN"/>
                <w:highlight w:val="auto"/>
              </w:rPr>
            </w:pPr>
            <w:r>
              <w:rPr>
                <w:rFonts w:ascii="宋体" w:cs="宋体" w:hint="eastAsia"/>
                <w:color w:val="auto"/>
                <w:kern w:val="0"/>
                <w:szCs w:val="24"/>
                <w:highlight w:val="auto"/>
              </w:rPr>
              <w:t>3.</w:t>
            </w:r>
            <w:r>
              <w:rPr>
                <w:rFonts w:ascii="宋体" w:cs="宋体" w:hint="eastAsia"/>
                <w:color w:val="auto"/>
                <w:kern w:val="0"/>
                <w:szCs w:val="24"/>
                <w:lang w:val="en-US" w:eastAsia="zh-CN"/>
                <w:highlight w:val="auto"/>
              </w:rPr>
              <w:t>4</w:t>
            </w:r>
          </w:p>
        </w:tc>
        <w:tc>
          <w:tcPr>
            <w:tcW w:w="6568" w:type="dxa"/>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炉腔：配置</w:t>
            </w:r>
            <w:r>
              <w:rPr>
                <w:rFonts w:ascii="宋体" w:cs="宋体" w:hint="eastAsia"/>
                <w:color w:val="auto"/>
                <w:kern w:val="0"/>
                <w:szCs w:val="24"/>
                <w:lang w:val="en-US" w:eastAsia="zh-CN"/>
                <w:highlight w:val="auto"/>
              </w:rPr>
              <w:t>3</w:t>
            </w:r>
            <w:r>
              <w:rPr>
                <w:rFonts w:ascii="宋体" w:cs="宋体" w:hint="eastAsia"/>
                <w:color w:val="auto"/>
                <w:kern w:val="0"/>
                <w:szCs w:val="24"/>
                <w:highlight w:val="auto"/>
              </w:rPr>
              <w:t>套；</w:t>
            </w:r>
            <w:r>
              <w:rPr>
                <w:rFonts w:ascii="宋体" w:cs="宋体" w:hint="eastAsia"/>
                <w:color w:val="auto"/>
                <w:kern w:val="0"/>
                <w:szCs w:val="24"/>
                <w:lang w:val="en-US" w:eastAsia="zh-CN"/>
                <w:highlight w:val="auto"/>
              </w:rPr>
              <w:t>相应配套设施（如适配变压器）</w:t>
            </w:r>
            <w:r>
              <w:rPr>
                <w:rFonts w:ascii="宋体" w:cs="宋体" w:hint="eastAsia"/>
                <w:color w:val="auto"/>
                <w:kern w:val="0"/>
                <w:szCs w:val="24"/>
                <w:highlight w:val="auto"/>
              </w:rPr>
              <w:t>1套。</w:t>
            </w:r>
          </w:p>
        </w:tc>
      </w:tr>
    </w:tbl>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br w:type="page"/>
        <w:t>C包：</w:t>
      </w: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（一）采购清单</w:t>
      </w:r>
    </w:p>
    <w:tbl>
      <w:tblPr>
        <w:jc w:val="left"/>
        <w:tblInd w:w="0" w:type="dxa"/>
        <w:tblW w:w="4997"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0" w:type="dxa"/>
          <w:left w:w="108" w:type="dxa"/>
          <w:bottom w:w="0" w:type="dxa"/>
          <w:right w:w="108" w:type="dxa"/>
        </w:tblCellMar>
      </w:tblPr>
      <w:tblGrid>
        <w:gridCol w:w="884"/>
        <w:gridCol w:w="3600"/>
        <w:gridCol w:w="1763"/>
        <w:gridCol w:w="1222"/>
        <w:gridCol w:w="1474"/>
      </w:tblGrid>
      <w:tr>
        <w:tc>
          <w:tcPr>
            <w:tcW w:w="49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序号</w:t>
            </w:r>
          </w:p>
        </w:tc>
        <w:tc>
          <w:tcPr>
            <w:tcW w:w="2012"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设备名称</w:t>
            </w:r>
          </w:p>
        </w:tc>
        <w:tc>
          <w:tcPr>
            <w:tcW w:w="985"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数量</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单位</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备注</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2012"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旋转蒸发仪</w:t>
            </w:r>
          </w:p>
        </w:tc>
        <w:tc>
          <w:tcPr>
            <w:tcW w:w="985"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p>
        </w:tc>
      </w:tr>
      <w:tr>
        <w:tc>
          <w:tcPr>
            <w:tcW w:w="49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2012"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紫外可见分光光度计（一）</w:t>
            </w:r>
          </w:p>
        </w:tc>
        <w:tc>
          <w:tcPr>
            <w:tcW w:w="985" w:type="pct"/>
            <w:noWrap/>
          </w:tcPr>
          <w:p>
            <w:pPr>
              <w:autoSpaceDE w:val="0"/>
              <w:spacing w:line="560" w:lineRule="exact"/>
              <w:jc w:val="center"/>
              <w:rPr>
                <w:rFonts w:ascii="宋体" w:eastAsia="宋体" w:cs="宋体"/>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遵义室</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3</w:t>
            </w:r>
          </w:p>
        </w:tc>
        <w:tc>
          <w:tcPr>
            <w:tcW w:w="2012"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紫外可见分光光度计（二）</w:t>
            </w:r>
          </w:p>
        </w:tc>
        <w:tc>
          <w:tcPr>
            <w:tcW w:w="985" w:type="pct"/>
            <w:noWrap/>
          </w:tcPr>
          <w:p>
            <w:pPr>
              <w:autoSpaceDE w:val="0"/>
              <w:spacing w:line="560" w:lineRule="exact"/>
              <w:jc w:val="center"/>
              <w:rPr>
                <w:rFonts w:ascii="宋体" w:eastAsia="宋体" w:cs="宋体"/>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商检室</w:t>
            </w:r>
          </w:p>
        </w:tc>
      </w:tr>
      <w:tr>
        <w:tc>
          <w:tcPr>
            <w:tcW w:w="49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4</w:t>
            </w:r>
          </w:p>
        </w:tc>
        <w:tc>
          <w:tcPr>
            <w:tcW w:w="2012"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凝胶成像仪</w:t>
            </w:r>
          </w:p>
        </w:tc>
        <w:tc>
          <w:tcPr>
            <w:tcW w:w="985" w:type="pct"/>
            <w:noWrap/>
          </w:tcPr>
          <w:p>
            <w:pPr>
              <w:autoSpaceDE w:val="0"/>
              <w:spacing w:line="560" w:lineRule="exact"/>
              <w:jc w:val="center"/>
              <w:rPr>
                <w:rFonts w:ascii="宋体" w:eastAsia="宋体" w:cs="宋体"/>
                <w:b w:val="0"/>
                <w:bCs w:val="0"/>
                <w:color w:val="auto"/>
                <w:kern w:val="2"/>
                <w:sz w:val="24"/>
                <w:szCs w:val="24"/>
                <w:vertAlign w:val="baseline"/>
                <w:lang w:val="en-US" w:eastAsia="zh-CN" w:bidi="ar-SA"/>
                <w:highlight w:val="auto"/>
              </w:rPr>
            </w:pPr>
            <w:r>
              <w:rPr>
                <w:rFonts w:ascii="宋体" w:eastAsia="宋体" w:cs="宋体" w:hint="eastAsia"/>
                <w:b w:val="0"/>
                <w:bCs w:val="0"/>
                <w:color w:val="auto"/>
                <w:kern w:val="2"/>
                <w:sz w:val="24"/>
                <w:szCs w:val="24"/>
                <w:vertAlign w:val="baseline"/>
                <w:lang w:val="en-US" w:eastAsia="zh-CN" w:bidi="ar-SA"/>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cs="宋体" w:hint="eastAsia"/>
                <w:color w:val="auto"/>
                <w:szCs w:val="24"/>
                <w:highlight w:val="auto"/>
              </w:rPr>
              <w:t>核心产品</w:t>
            </w:r>
          </w:p>
        </w:tc>
      </w:tr>
    </w:tbl>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（二）技术参数要求</w:t>
      </w: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旋转蒸发仪</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97"/>
        <w:gridCol w:w="912"/>
        <w:gridCol w:w="787"/>
        <w:gridCol w:w="6059"/>
      </w:tblGrid>
      <w:tr>
        <w:trPr>
          <w:trHeight w:val="600"/>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900"/>
        </w:trPr>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用于标准蒸馏、结晶、产物浓缩、粉末干燥以及一种或多种溶剂的分离，也可用于气相、液相以及质谱分析过程中样品的前处理。</w:t>
            </w:r>
          </w:p>
        </w:tc>
      </w:tr>
      <w:tr>
        <w:trPr>
          <w:trHeight w:val="282"/>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旋转蒸发仪主机</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蒸发瓶角度可调。</w:t>
            </w:r>
          </w:p>
        </w:tc>
      </w:tr>
      <w:tr>
        <w:trPr>
          <w:trHeight w:val="600"/>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升降方式：马达自动升降，升降行程覆盖0～140mm，具有安全停止功能，下降终点设置覆盖 0～60mm，高度可调。</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支持间歇性左右旋转，间歇时间覆盖0～60s可调，可运用于粉末状样品的干燥处理。</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转速范围：覆盖10～280转/分钟</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冷凝管</w:t>
            </w:r>
          </w:p>
        </w:tc>
      </w:tr>
      <w:tr>
        <w:trPr>
          <w:trHeight w:val="31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冷凝面积≥1500cm²</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可实现定时功能，到达设定时间后设备自动停止，蒸馏瓶自动抬升，方便实现重复性实验。</w:t>
            </w:r>
          </w:p>
        </w:tc>
      </w:tr>
      <w:tr>
        <w:trPr>
          <w:trHeight w:val="102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安全保护：干烧浴锅自动断电，主机自动提升，将蒸发瓶脱离浴锅，以及超温预警蒸发瓶自动提升，待机预警保护。</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密封件：PTFE带不锈钢弹片的密封圈，耐磨耐腐蚀。</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配有真空缓冲瓶，保护隔膜泵。</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加热锅：温度覆盖室温～190℃，设置精度≤1℃，全量程范围温度偏差≤±1℃；容积≥4L，可水平移动距离：0-200mm。</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加热锅安全设置：安全温度调节范围 50℃～190℃，非固定安全温度，可根据实际应用调节。</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真空泵</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类型：变频四级隔膜真空泵。</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泵速调节：泵速覆盖285～1200转/分钟，可调，数字显示。</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运行方式：无油干式运行。</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抽气速率：≥1.3m³/h。</w:t>
            </w:r>
          </w:p>
        </w:tc>
      </w:tr>
      <w:tr>
        <w:trPr>
          <w:trHeight w:val="623"/>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真空度：最低真空度≤10mbar。（提供产品彩页或技术说明书为证明材料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材质：隔膜及气体接触的部分由 PTFE 耐腐蚀材质组成。</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真空控制器</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显示：液晶屏幕数字显示真空值。</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控制范围与精度：真空控制范围覆盖10mbar～1100mbar，控制精度1mbar。</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泄压功能：具备放气阀和按键。</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定时功能：内置定时功能，定时范围覆盖10s～6000min。</w:t>
            </w:r>
          </w:p>
        </w:tc>
      </w:tr>
      <w:tr>
        <w:trPr>
          <w:trHeight w:val="6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可设置</w:t>
            </w:r>
            <w:r>
              <w:rPr>
                <w:rFonts w:ascii="宋体" w:cs="宋体" w:hint="eastAsia"/>
                <w:color w:val="auto"/>
                <w:kern w:val="0"/>
                <w:szCs w:val="24"/>
                <w:lang w:val="en-US" w:eastAsia="zh-CN"/>
                <w:highlight w:val="auto"/>
              </w:rPr>
              <w:t>大于等于</w:t>
            </w:r>
            <w:r>
              <w:rPr>
                <w:rFonts w:ascii="宋体" w:cs="宋体" w:hint="eastAsia"/>
                <w:color w:val="auto"/>
                <w:kern w:val="0"/>
                <w:szCs w:val="24"/>
                <w:highlight w:val="auto"/>
              </w:rPr>
              <w:t>8种梯度真空控制程序，配合梯度蒸馏，实时曲线图可直观地监控真空下降状况。</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传感器：压力传感器，耐化学腐蚀。</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冷却循环器</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控温范围： -10℃～室温。</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温度稳定性：≤±1℃。</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温度显示：数字显示，显示精度≤ ±0.1℃。</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制冷功率：≥400W，20℃。</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水泵流速：≥15L/min。</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水箱容积：≥3.5L。</w:t>
            </w:r>
          </w:p>
        </w:tc>
      </w:tr>
      <w:tr>
        <w:trPr>
          <w:trHeight w:val="2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冷却液位实时显示。</w:t>
            </w:r>
          </w:p>
        </w:tc>
      </w:tr>
      <w:tr>
        <w:trPr>
          <w:trHeight w:val="282"/>
        </w:trPr>
        <w:tc>
          <w:tcPr>
            <w:vMerge w:val="restar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旋转蒸发仪主机 1 台</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防爆玻璃组件 1 套（包含冷凝管、1L 接收瓶</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500ml</w:t>
            </w:r>
            <w:r>
              <w:rPr>
                <w:rFonts w:ascii="宋体" w:cs="宋体" w:hint="eastAsia"/>
                <w:color w:val="auto"/>
                <w:kern w:val="0"/>
                <w:szCs w:val="24"/>
                <w:highlight w:val="auto"/>
              </w:rPr>
              <w:t>蒸发瓶</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 xml:space="preserve"> 1L 蒸发瓶）</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数字显示加热锅 1 台</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隔膜真空泵 1 台</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真空控制器 1 台</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冷却循环系统 1 台</w:t>
            </w:r>
          </w:p>
        </w:tc>
      </w:tr>
      <w:tr>
        <w:trPr>
          <w:trHeight w:val="282"/>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密封圈5个</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紫外可见分光光度计（一）</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38"/>
        <w:gridCol w:w="966"/>
        <w:gridCol w:w="862"/>
        <w:gridCol w:w="6342"/>
      </w:tblGrid>
      <w:tr>
        <w:trPr>
          <w:trHeight w:val="552"/>
        </w:trPr>
        <w:tc>
          <w:tcPr>
            <w:tcW w:w="1138"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W w:w="96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W w:w="862"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W w:w="6342"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360"/>
        </w:trPr>
        <w:tc>
          <w:tcPr>
            <w:tcW w:w="1138"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食品理化检测</w:t>
            </w:r>
          </w:p>
        </w:tc>
      </w:tr>
      <w:tr>
        <w:trPr>
          <w:trHeight w:val="600"/>
        </w:trPr>
        <w:tc>
          <w:tcPr>
            <w:tcW w:w="1138" w:type="dxa"/>
            <w:vMerge w:val="restar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W w:w="96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szCs w:val="24"/>
                <w:highlight w:val="auto"/>
              </w:rPr>
              <w:t>光学系统：全密封卡尔蔡司光学系统，实时双光束，双池双检测，内置氧化钬滤光片自动校正波长</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波长范围：190-1100nm；</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光度计显示范围：-1A~6A</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测光范围:-0.3A~3A</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带宽 :0.5/1/2/4nm多档可选</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W w:w="6342" w:type="dxa"/>
            <w:noWrap/>
            <w:vAlign w:val="center"/>
          </w:tcPr>
          <w:p>
            <w:pPr>
              <w:widowControl/>
              <w:adjustRightInd/>
              <w:snapToGrid/>
              <w:spacing w:line="240" w:lineRule="auto"/>
              <w:jc w:val="left"/>
              <w:textAlignment w:val="auto"/>
              <w:rPr>
                <w:rFonts w:ascii="宋体" w:cs="宋体" w:hint="eastAsia"/>
                <w:color w:val="auto"/>
                <w:szCs w:val="24"/>
                <w:highlight w:val="auto"/>
              </w:rPr>
            </w:pPr>
            <w:r>
              <w:rPr>
                <w:rFonts w:ascii="宋体" w:cs="宋体" w:hint="eastAsia"/>
                <w:color w:val="auto"/>
                <w:kern w:val="0"/>
                <w:szCs w:val="24"/>
                <w:highlight w:val="auto"/>
              </w:rPr>
              <w:t>波长准确度:</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 xml:space="preserve"> ±0.2nm</w:t>
            </w:r>
          </w:p>
        </w:tc>
      </w:tr>
      <w:tr>
        <w:trPr>
          <w:trHeight w:val="360"/>
        </w:trPr>
        <w:tc>
          <w:tcPr>
            <w:tcW w:w="1138" w:type="dxa"/>
            <w:vMerge/>
            <w:noWrap/>
            <w:vAlign w:val="center"/>
          </w:tcPr>
          <w:p/>
        </w:tc>
        <w:tc>
          <w:tcPr>
            <w:tcW w:w="96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W w:w="6342" w:type="dxa"/>
            <w:noWrap/>
            <w:vAlign w:val="center"/>
          </w:tcPr>
          <w:p>
            <w:pPr>
              <w:widowControl/>
              <w:adjustRightInd/>
              <w:snapToGrid/>
              <w:spacing w:line="240" w:lineRule="auto"/>
              <w:jc w:val="left"/>
              <w:textAlignment w:val="auto"/>
              <w:rPr>
                <w:rFonts w:ascii="宋体" w:cs="宋体" w:hint="eastAsia"/>
                <w:color w:val="auto"/>
                <w:szCs w:val="24"/>
                <w:highlight w:val="auto"/>
              </w:rPr>
            </w:pPr>
            <w:r>
              <w:rPr>
                <w:rFonts w:ascii="宋体" w:cs="宋体" w:hint="eastAsia"/>
                <w:color w:val="auto"/>
                <w:kern w:val="0"/>
                <w:szCs w:val="24"/>
                <w:highlight w:val="auto"/>
              </w:rPr>
              <w:t xml:space="preserve">波长重现性 : </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±0.05nm</w:t>
            </w:r>
          </w:p>
        </w:tc>
      </w:tr>
      <w:tr>
        <w:trPr>
          <w:trHeight w:val="300"/>
        </w:trPr>
        <w:tc>
          <w:tcPr>
            <w:tcW w:w="1138" w:type="dxa"/>
            <w:vMerge/>
            <w:noWrap/>
            <w:vAlign w:val="center"/>
          </w:tcPr>
          <w:p/>
        </w:tc>
        <w:tc>
          <w:tcPr>
            <w:tcW w:w="96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扫描速度:最快≥12000nm/分钟 ，分析间隔1nm。</w:t>
            </w:r>
          </w:p>
        </w:tc>
      </w:tr>
      <w:tr>
        <w:trPr>
          <w:trHeight w:val="300"/>
        </w:trPr>
        <w:tc>
          <w:tcPr>
            <w:tcW w:w="1138" w:type="dxa"/>
            <w:vMerge/>
            <w:noWrap/>
            <w:vAlign w:val="center"/>
          </w:tcPr>
          <w:p/>
        </w:tc>
        <w:tc>
          <w:tcPr>
            <w:tcW w:w="966" w:type="dxa"/>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检测器：硅光电二极管检测器</w:t>
            </w:r>
          </w:p>
        </w:tc>
      </w:tr>
      <w:tr>
        <w:trPr>
          <w:trHeight w:val="36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多波长测量：连续任意设定特定波长≥10个波长</w:t>
            </w:r>
          </w:p>
        </w:tc>
      </w:tr>
      <w:tr>
        <w:trPr>
          <w:trHeight w:val="36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2.11</w:t>
            </w:r>
          </w:p>
        </w:tc>
        <w:tc>
          <w:tcPr>
            <w:tcW w:w="6342" w:type="dxa"/>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波长稳定性 : ±0.02nm</w:t>
            </w:r>
          </w:p>
        </w:tc>
      </w:tr>
      <w:tr>
        <w:trPr>
          <w:trHeight w:val="36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color w:val="auto"/>
                <w:kern w:val="0"/>
                <w:szCs w:val="24"/>
                <w:lang w:val="en-US" w:eastAsia="zh-CN"/>
                <w:highlight w:val="auto"/>
              </w:rPr>
            </w:pPr>
            <w:r>
              <w:rPr>
                <w:rFonts w:ascii="宋体" w:cs="宋体" w:hint="eastAsia"/>
                <w:color w:val="auto"/>
                <w:kern w:val="0"/>
                <w:szCs w:val="24"/>
                <w:lang w:val="en-US" w:eastAsia="zh-CN"/>
                <w:highlight w:val="auto"/>
              </w:rPr>
              <w:t>2.12</w:t>
            </w:r>
          </w:p>
        </w:tc>
        <w:tc>
          <w:tcPr>
            <w:tcW w:w="6342" w:type="dxa"/>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噪音：340nm 时小于0.02% (NaNO2 )</w:t>
            </w:r>
          </w:p>
        </w:tc>
      </w:tr>
      <w:tr>
        <w:trPr>
          <w:trHeight w:val="420"/>
        </w:trPr>
        <w:tc>
          <w:tcPr>
            <w:tcW w:w="1138" w:type="dxa"/>
            <w:vMerge w:val="restart"/>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紫外可见分光光度计一套（含工作站）</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 1cm、2cm、3cm、4cm、5cm、8cm石英比色皿（各10只）</w:t>
            </w:r>
          </w:p>
        </w:tc>
      </w:tr>
      <w:tr>
        <w:trPr>
          <w:trHeight w:val="30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连续自动吸样器 1套</w:t>
            </w:r>
          </w:p>
        </w:tc>
      </w:tr>
      <w:tr>
        <w:trPr>
          <w:trHeight w:val="1620"/>
        </w:trPr>
        <w:tc>
          <w:tcPr>
            <w:tcW w:w="1138" w:type="dxa"/>
            <w:vMerge/>
            <w:noWrap/>
            <w:vAlign w:val="center"/>
          </w:tcPr>
          <w:p/>
        </w:tc>
        <w:tc>
          <w:tcPr>
            <w:tcW w:w="966" w:type="dxa"/>
            <w:noWrap/>
            <w:vAlign w:val="center"/>
          </w:tcPr>
          <w:p>
            <w:pPr>
              <w:adjustRightInd w:val="0"/>
              <w:snapToGrid w:val="0"/>
              <w:spacing w:line="440" w:lineRule="exact"/>
              <w:jc w:val="center"/>
              <w:rPr>
                <w:rFonts w:ascii="宋体" w:cs="宋体" w:hint="eastAsia"/>
                <w:color w:val="auto"/>
                <w:szCs w:val="24"/>
                <w:highlight w:val="auto"/>
              </w:rPr>
            </w:pPr>
          </w:p>
        </w:tc>
        <w:tc>
          <w:tcPr>
            <w:tcW w:w="86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W w:w="6342" w:type="dxa"/>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控制电脑1套：配套使用电脑（或工作站）的产品技术指标需满足财库《台式计算机（或工作站）政府采购需求标准（2023年版）》中的星标项“*”指标，投标人提供： 台式计算机（或工作站）产品技术指标需满足财库《台式计算机（或工作站）政府采购需求标准（2023年版）》中的星标项“*”指标的承诺函，格式自拟。黑白激光打印机1台。</w:t>
            </w:r>
            <w:r>
              <w:rPr>
                <w:rFonts w:ascii="宋体" w:cs="宋体" w:hint="eastAsia"/>
                <w:color w:val="auto"/>
                <w:kern w:val="0"/>
                <w:szCs w:val="24"/>
                <w:lang w:val="en-US" w:eastAsia="zh-CN"/>
                <w:highlight w:val="auto"/>
              </w:rPr>
              <w:t>提供所投产品节能产品认证证书</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紫外可见分光光度计（二）</w:t>
      </w:r>
    </w:p>
    <w:tbl>
      <w:tblPr>
        <w:jc w:val="left"/>
        <w:tblInd w:w="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20"/>
        <w:gridCol w:w="747"/>
        <w:gridCol w:w="673"/>
        <w:gridCol w:w="6615"/>
      </w:tblGrid>
      <w:tr>
        <w:trPr>
          <w:trHeight w:val="578"/>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938"/>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用于对各类样品（如食品、农产品、饲料等）中对目标成分的鉴别、杂质检查及定量测定。</w:t>
            </w:r>
          </w:p>
        </w:tc>
      </w:tr>
      <w:tr>
        <w:trPr>
          <w:trHeight w:val="312"/>
        </w:trPr>
        <w:tc>
          <w:tcPr>
            <w:vMerge w:val="restart"/>
            <w:tcBorders>
              <w:top w:val="single" w:sz="4" w:space="0" w:color="000000"/>
              <w:left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光学系统：双光束、双光路测量方式；</w:t>
            </w:r>
          </w:p>
        </w:tc>
      </w:tr>
      <w:tr>
        <w:trPr>
          <w:trHeight w:val="709"/>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光源：钨灯，插座式设计；紫外光源：氘灯，插座式设计；</w:t>
            </w:r>
            <w:r>
              <w:rPr>
                <w:rFonts w:ascii="宋体" w:cs="宋体" w:hint="eastAsia"/>
                <w:color w:val="auto"/>
                <w:kern w:val="0"/>
                <w:szCs w:val="24"/>
                <w:lang w:val="en-US" w:eastAsia="zh-CN"/>
                <w:highlight w:val="auto"/>
              </w:rPr>
              <w:t>如是氙灯更好</w:t>
            </w:r>
            <w:r>
              <w:rPr>
                <w:rFonts w:ascii="宋体" w:cs="宋体" w:hint="eastAsia"/>
                <w:color w:val="auto"/>
                <w:kern w:val="0"/>
                <w:szCs w:val="24"/>
                <w:highlight w:val="auto"/>
              </w:rPr>
              <w:t xml:space="preserve">                                                                                                                                                                                                                                                                                                                                                                                                                                                                                                                                                                                                                                                                                                                                                                                                                                                                                                                                                                                                                                                                                                                                                                                                                                                                                                                                                                                                                                                                                                                                                                                                                                                                                                                                                                                                                                                                                                                                                                                                                                                                                                                                                                                                                                                                                                                                                                                                                                                                                                                                                                                                                                                                                                                                                                                                                                                                                                                                                                                                                                                                                                                                                                                                                                                                                                                                                                                                                                                                                                                                                                                                                                                                                                                                                                                                                                                                                                                                                                                                                                                                                               </w:t>
            </w:r>
          </w:p>
        </w:tc>
      </w:tr>
      <w:tr>
        <w:trPr>
          <w:trHeight w:val="390"/>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带宽：0.1-5nm(以0.1nm为间隔连续可调)； </w:t>
            </w:r>
          </w:p>
        </w:tc>
      </w:tr>
      <w:tr>
        <w:trPr>
          <w:trHeight w:val="612"/>
        </w:trPr>
        <w:tc>
          <w:tcPr>
            <w:vMerge/>
            <w:tcBorders>
              <w:left w:val="single" w:sz="4" w:space="0" w:color="000000"/>
              <w:right w:val="single" w:sz="4" w:space="0" w:color="000000"/>
            </w:tcBorders>
            <w:noWrap/>
            <w:vAlign w:val="center"/>
          </w:tcPr>
          <w:p/>
        </w:tc>
        <w:tc>
          <w:tcPr>
            <w:tcBorders>
              <w:top w:val="nil"/>
              <w:left w:val="nil"/>
              <w:bottom w:val="nil"/>
              <w:right w:val="nil"/>
            </w:tcBorders>
            <w:noWrap/>
            <w:vAlign w:val="center"/>
          </w:tcPr>
          <w:p>
            <w:pPr>
              <w:adjustRightInd w:val="0"/>
              <w:snapToGrid w:val="0"/>
              <w:spacing w:line="440" w:lineRule="exac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 波长范围：190～900nm；波长准确度：</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±0.1nm （656.1纳米处)；</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±0.3nm（全段）；</w:t>
            </w:r>
          </w:p>
        </w:tc>
      </w:tr>
      <w:tr>
        <w:trPr>
          <w:trHeight w:val="312"/>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 杂散光≤0.005%T；</w:t>
            </w:r>
          </w:p>
        </w:tc>
      </w:tr>
      <w:tr>
        <w:trPr>
          <w:trHeight w:val="349"/>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校准光源：汞灯，对波长进行校准；</w:t>
            </w:r>
          </w:p>
        </w:tc>
      </w:tr>
      <w:tr>
        <w:trPr>
          <w:trHeight w:val="390"/>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检测器：光电倍增管；</w:t>
            </w:r>
          </w:p>
        </w:tc>
      </w:tr>
      <w:tr>
        <w:trPr>
          <w:trHeight w:val="312"/>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稳定性：0.001 Abs/h ；</w:t>
            </w:r>
          </w:p>
        </w:tc>
      </w:tr>
      <w:tr>
        <w:trPr>
          <w:trHeight w:val="912"/>
        </w:trPr>
        <w:tc>
          <w:tcPr>
            <w:vMerge/>
            <w:tcBorders>
              <w:left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软件功能：光谱扫描、时间扫描、定量分析、多波长测量、动力学测试、内置蛋白/核酸分析功能，标准曲线、样品信息数据 和计算结果可同时在软件上显示。</w:t>
            </w:r>
          </w:p>
        </w:tc>
      </w:tr>
      <w:tr>
        <w:trPr>
          <w:trHeight w:val="912"/>
        </w:trPr>
        <w:tc>
          <w:tcPr>
            <w:vMerge/>
            <w:tcBorders>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eastAsia="宋体" w:cs="宋体"/>
                <w:color w:val="auto"/>
                <w:kern w:val="0"/>
                <w:szCs w:val="24"/>
                <w:lang w:val="en-US" w:eastAsia="zh-CN"/>
                <w:highlight w:val="auto"/>
              </w:rPr>
            </w:pPr>
            <w:r>
              <w:rPr>
                <w:rFonts w:ascii="宋体" w:cs="宋体" w:hint="eastAsia"/>
                <w:color w:val="auto"/>
                <w:kern w:val="0"/>
                <w:szCs w:val="24"/>
                <w:lang w:val="en-US" w:eastAsia="zh-CN"/>
                <w:highlight w:val="auto"/>
              </w:rPr>
              <w:t>2.10</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kern w:val="0"/>
                <w:szCs w:val="24"/>
                <w:highlight w:val="auto"/>
              </w:rPr>
            </w:pPr>
            <w:r>
              <w:rPr>
                <w:rFonts w:ascii="宋体" w:cs="宋体" w:hint="eastAsia"/>
                <w:color w:val="auto"/>
                <w:kern w:val="0"/>
                <w:szCs w:val="24"/>
                <w:highlight w:val="auto"/>
              </w:rPr>
              <w:t>噪声水平：≤0.0004Abs </w:t>
            </w:r>
          </w:p>
        </w:tc>
      </w:tr>
      <w:tr>
        <w:trPr>
          <w:trHeight w:val="330"/>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紫外可见分光光度计主机1台；</w:t>
            </w:r>
          </w:p>
        </w:tc>
      </w:tr>
      <w:tr>
        <w:trPr>
          <w:trHeight w:val="37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 1cm、2cm、3cm、4cm、5cm、8cm石英比色皿（各5只）；</w:t>
            </w:r>
          </w:p>
        </w:tc>
      </w:tr>
      <w:tr>
        <w:trPr>
          <w:trHeight w:val="45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自动8联池 1架；</w:t>
            </w:r>
          </w:p>
        </w:tc>
      </w:tr>
      <w:tr>
        <w:trPr>
          <w:trHeight w:val="1662"/>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控制电脑1套：配套使用电脑（或工作站）的产品技术指标需满足财库《台式计算机（或工作站）政府采购需求标准（2023年版）》中的星标项“*”指标，投标人提供： 台式计算机（或工作站）产品技术指标需满足财库《台式计算机（或工作站）政府采购需求标准（2023年版）》中的星标项“*”指标的承诺函，格式自拟。黑白激光打印机1台</w:t>
            </w:r>
            <w:r>
              <w:rPr>
                <w:rFonts w:ascii="宋体" w:cs="宋体" w:hint="eastAsia"/>
                <w:color w:val="auto"/>
                <w:kern w:val="0"/>
                <w:szCs w:val="24"/>
                <w:lang w:eastAsia="zh-CN"/>
                <w:highlight w:val="auto"/>
              </w:rPr>
              <w:t>。</w:t>
            </w:r>
            <w:r>
              <w:rPr>
                <w:rFonts w:ascii="宋体" w:cs="宋体" w:hint="eastAsia"/>
                <w:color w:val="auto"/>
                <w:kern w:val="0"/>
                <w:szCs w:val="24"/>
                <w:lang w:val="en-US" w:eastAsia="zh-CN"/>
                <w:highlight w:val="auto"/>
              </w:rPr>
              <w:t>提供所投产品节能产品认证证书。</w:t>
            </w:r>
          </w:p>
        </w:tc>
      </w:tr>
    </w:tbl>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凝胶成像仪</w:t>
      </w:r>
    </w:p>
    <w:tbl>
      <w:tblPr>
        <w:jc w:val="left"/>
        <w:tblInd w:w="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20"/>
        <w:gridCol w:w="747"/>
        <w:gridCol w:w="673"/>
        <w:gridCol w:w="6615"/>
      </w:tblGrid>
      <w:tr>
        <w:trPr>
          <w:trHeight w:val="503"/>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529"/>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r>
              <w:rPr>
                <w:rFonts w:ascii="宋体" w:cs="宋体" w:hint="eastAsia"/>
                <w:color w:val="auto"/>
                <w:szCs w:val="24"/>
                <w:highlight w:val="auto"/>
              </w:rPr>
              <w:t>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人类及动植物病原、食品微生物、转基因、濒危物种及其他物种鉴定等核酸检测</w:t>
            </w:r>
          </w:p>
        </w:tc>
      </w:tr>
      <w:tr>
        <w:trPr>
          <w:trHeight w:val="758"/>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CCD相机：CCD分辨率≥2600*2200以上真实像素， 图像分辨率≥2000万像素；CCD冷却温度≤-55℃（相对于室温25℃）；f值≤0.72，全自动定焦镜头。</w:t>
            </w:r>
          </w:p>
        </w:tc>
      </w:tr>
      <w:tr>
        <w:trPr>
          <w:trHeight w:val="27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不锈钢箱体，环氧涂层，带有阻尼的磁力吸附门，电磁门锁。</w:t>
            </w:r>
          </w:p>
        </w:tc>
      </w:tr>
      <w:tr>
        <w:trPr>
          <w:trHeight w:val="529"/>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可升级不少于7通道顶部荧光激发光源，预留光源接口，自动识别光源波长。</w:t>
            </w:r>
          </w:p>
        </w:tc>
      </w:tr>
      <w:tr>
        <w:trPr>
          <w:trHeight w:val="345"/>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全自动控制滤光片轮，≥7位。</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滤光片可用于EB、Goldview、Gelred等染料染色的DNA、RNA凝胶。</w:t>
            </w:r>
          </w:p>
        </w:tc>
      </w:tr>
      <w:tr>
        <w:trPr>
          <w:trHeight w:val="39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不少于六层样品位置，至少五层可用于化学发光。</w:t>
            </w:r>
          </w:p>
        </w:tc>
      </w:tr>
      <w:tr>
        <w:trPr>
          <w:trHeight w:val="27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带有样品位置感应器，系统自动识别样品位置。</w:t>
            </w:r>
          </w:p>
        </w:tc>
      </w:tr>
      <w:tr>
        <w:trPr>
          <w:trHeight w:val="375"/>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双近红外或其他方式定位样品位置。</w:t>
            </w:r>
          </w:p>
        </w:tc>
      </w:tr>
      <w:tr>
        <w:trPr>
          <w:trHeight w:val="375"/>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可拍摄彩色Marker图像，自动合并信号图像，非添加伪彩</w:t>
            </w:r>
          </w:p>
        </w:tc>
      </w:tr>
      <w:tr>
        <w:trPr>
          <w:trHeight w:val="529"/>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具有3D扫描功能，直接获取3D图像</w:t>
            </w:r>
          </w:p>
        </w:tc>
      </w:tr>
      <w:tr>
        <w:trPr>
          <w:trHeight w:val="450"/>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主机，1台</w:t>
            </w:r>
          </w:p>
        </w:tc>
      </w:tr>
      <w:tr>
        <w:trPr>
          <w:trHeight w:val="156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控制电脑1套：配套使用电脑（或工作站）的产品技术指标需满足财库《台式计算机（或工作站）政府采购需求标准（2023年版）》中的星标项“*”指标，投标人提供： 台式计算机（或工作站）产品技术指标需满足财库《台式计算机（或工作站）政府采购需求标准（2023年版）》中的星标项“*”指标的承诺函，格式自拟。黑白激光打印机1台。</w:t>
            </w:r>
            <w:r>
              <w:rPr>
                <w:rFonts w:ascii="宋体" w:cs="宋体" w:hint="eastAsia"/>
                <w:color w:val="auto"/>
                <w:kern w:val="0"/>
                <w:szCs w:val="24"/>
                <w:lang w:val="en-US" w:eastAsia="zh-CN"/>
                <w:highlight w:val="auto"/>
              </w:rPr>
              <w:t>提供所投产品节能产品认证证书</w:t>
            </w:r>
          </w:p>
        </w:tc>
      </w:tr>
      <w:tr>
        <w:trPr>
          <w:trHeight w:val="405"/>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超亮紫外透照台1个</w:t>
            </w:r>
          </w:p>
        </w:tc>
      </w:tr>
      <w:tr>
        <w:trPr>
          <w:trHeight w:val="405"/>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left"/>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白光转换屏一个</w:t>
            </w:r>
          </w:p>
        </w:tc>
      </w:tr>
    </w:tbl>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D包：</w:t>
      </w:r>
    </w:p>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（一）采购清单</w:t>
      </w:r>
    </w:p>
    <w:tbl>
      <w:tblPr>
        <w:jc w:val="left"/>
        <w:tblInd w:w="0" w:type="dxa"/>
        <w:tblW w:w="4996"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0" w:type="dxa"/>
          <w:left w:w="108" w:type="dxa"/>
          <w:bottom w:w="0" w:type="dxa"/>
          <w:right w:w="108" w:type="dxa"/>
        </w:tblCellMar>
      </w:tblPr>
      <w:tblGrid>
        <w:gridCol w:w="882"/>
        <w:gridCol w:w="3600"/>
        <w:gridCol w:w="1762"/>
        <w:gridCol w:w="1222"/>
        <w:gridCol w:w="1475"/>
      </w:tblGrid>
      <w:tr>
        <w:tc>
          <w:tcPr>
            <w:tcW w:w="49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序号</w:t>
            </w:r>
          </w:p>
        </w:tc>
        <w:tc>
          <w:tcPr>
            <w:tcW w:w="2012"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设备名称</w:t>
            </w:r>
          </w:p>
        </w:tc>
        <w:tc>
          <w:tcPr>
            <w:tcW w:w="985"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数量</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单位</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备注</w:t>
            </w:r>
          </w:p>
        </w:tc>
      </w:tr>
      <w:tr>
        <w:tc>
          <w:tcPr>
            <w:tcW w:w="49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2012"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索氏提取仪</w:t>
            </w:r>
          </w:p>
        </w:tc>
        <w:tc>
          <w:tcPr>
            <w:tcW w:w="985"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cs="宋体" w:hint="eastAsia"/>
                <w:color w:val="auto"/>
                <w:szCs w:val="24"/>
                <w:highlight w:val="auto"/>
              </w:rPr>
              <w:t>核心产品</w:t>
            </w:r>
          </w:p>
        </w:tc>
      </w:tr>
      <w:tr>
        <w:tc>
          <w:tcPr>
            <w:tcW w:w="493"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r>
              <w:rPr>
                <w:rFonts w:ascii="宋体" w:eastAsia="宋体" w:cs="宋体" w:hint="eastAsia"/>
                <w:b w:val="0"/>
                <w:bCs w:val="0"/>
                <w:color w:val="auto"/>
                <w:sz w:val="24"/>
                <w:szCs w:val="24"/>
                <w:vertAlign w:val="baseline"/>
                <w:lang w:val="en-US" w:eastAsia="zh-CN"/>
                <w:highlight w:val="auto"/>
              </w:rPr>
              <w:t>2</w:t>
            </w:r>
          </w:p>
        </w:tc>
        <w:tc>
          <w:tcPr>
            <w:tcW w:w="2012"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氮气发生器</w:t>
            </w:r>
          </w:p>
        </w:tc>
        <w:tc>
          <w:tcPr>
            <w:tcW w:w="985"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1</w:t>
            </w:r>
          </w:p>
        </w:tc>
        <w:tc>
          <w:tcPr>
            <w:tcW w:w="683" w:type="pct"/>
            <w:noWrap/>
          </w:tcPr>
          <w:p>
            <w:pPr>
              <w:autoSpaceDE w:val="0"/>
              <w:spacing w:line="560" w:lineRule="exact"/>
              <w:jc w:val="center"/>
              <w:rPr>
                <w:rFonts w:ascii="宋体" w:eastAsia="宋体" w:cs="宋体" w:hint="eastAsia"/>
                <w:b w:val="0"/>
                <w:bCs w:val="0"/>
                <w:color w:val="auto"/>
                <w:kern w:val="2"/>
                <w:sz w:val="24"/>
                <w:szCs w:val="24"/>
                <w:vertAlign w:val="baseline"/>
                <w:lang w:val="en-US" w:eastAsia="zh-CN" w:bidi="ar-SA"/>
                <w:highlight w:val="auto"/>
              </w:rPr>
            </w:pPr>
            <w:r>
              <w:rPr>
                <w:rFonts w:ascii="宋体" w:eastAsia="宋体" w:cs="宋体" w:hint="eastAsia"/>
                <w:b w:val="0"/>
                <w:bCs w:val="0"/>
                <w:color w:val="auto"/>
                <w:sz w:val="24"/>
                <w:szCs w:val="24"/>
                <w:vertAlign w:val="baseline"/>
                <w:lang w:val="en-US" w:eastAsia="zh-CN"/>
                <w:highlight w:val="auto"/>
              </w:rPr>
              <w:t>台</w:t>
            </w:r>
          </w:p>
        </w:tc>
        <w:tc>
          <w:tcPr>
            <w:tcW w:w="824" w:type="pct"/>
            <w:noWrap/>
            <w:vAlign w:val="center"/>
          </w:tcPr>
          <w:p>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ascii="宋体" w:eastAsia="宋体" w:cs="宋体" w:hint="eastAsia"/>
                <w:b w:val="0"/>
                <w:bCs w:val="0"/>
                <w:color w:val="auto"/>
                <w:sz w:val="24"/>
                <w:szCs w:val="24"/>
                <w:vertAlign w:val="baseline"/>
                <w:lang w:val="en-US" w:eastAsia="zh-CN"/>
                <w:highlight w:val="auto"/>
              </w:rPr>
            </w:pPr>
          </w:p>
        </w:tc>
      </w:tr>
    </w:tbl>
    <w:p>
      <w:pPr>
        <w:autoSpaceDE w:val="0"/>
        <w:spacing w:line="560" w:lineRule="exact"/>
        <w:jc w:val="both"/>
        <w:outlineLvl w:val="3"/>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（二）技术参数要求</w:t>
      </w: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索氏浸提仪</w:t>
      </w:r>
    </w:p>
    <w:tbl>
      <w:tblPr>
        <w:jc w:val="lef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93"/>
        <w:gridCol w:w="730"/>
        <w:gridCol w:w="667"/>
        <w:gridCol w:w="6665"/>
      </w:tblGrid>
      <w:tr>
        <w:trPr>
          <w:trHeight w:val="600"/>
        </w:trPr>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278"/>
        </w:trPr>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right"/>
              <w:textAlignment w:val="center"/>
              <w:rPr>
                <w:rFonts w:ascii="宋体" w:cs="宋体" w:hint="eastAsia"/>
                <w:color w:val="auto"/>
                <w:szCs w:val="24"/>
                <w:highlight w:val="auto"/>
              </w:rPr>
            </w:pPr>
            <w:r>
              <w:rPr>
                <w:rFonts w:ascii="宋体" w:cs="宋体" w:hint="eastAsia"/>
                <w:color w:val="auto"/>
                <w:kern w:val="0"/>
                <w:szCs w:val="24"/>
                <w:highlight w:val="auto"/>
              </w:rPr>
              <w:t>1.1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用于食品、农产品、饲料中的脂肪含量提取。</w:t>
            </w:r>
          </w:p>
        </w:tc>
      </w:tr>
      <w:tr>
        <w:trPr>
          <w:trHeight w:val="600"/>
        </w:trPr>
        <w:tc>
          <w:tcPr>
            <w:vMerge w:val="restart"/>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szCs w:val="24"/>
                <w:highlight w:val="auto"/>
              </w:rPr>
              <w:t>2.主要技术指标</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内置制冷系统的全自动提取、浓缩一体机。能实现索氏抽提、热抽提、索氏热抽提、连续流动及标准热抽提自动抽提萃取模式。</w:t>
            </w:r>
          </w:p>
        </w:tc>
      </w:tr>
      <w:tr>
        <w:trPr>
          <w:trHeight w:val="900"/>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有机溶剂自动添加和回收系统。支持每个溶剂杯全部添加或指定溶剂杯添加。分析程序运行过程中任意节点可通过程序控制再次补充有机溶剂。并通过程序控制自动输送和回收有机溶剂。</w:t>
            </w:r>
          </w:p>
        </w:tc>
      </w:tr>
      <w:tr>
        <w:trPr>
          <w:trHeight w:val="900"/>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提取时，设备可控温度及提取时间；提取后，收集的溶剂自动提纯回收,单一溶剂可重复使用。溶剂回收后，收集容器可取下烘干称量。（提供产品彩页或技术说明书或官网截图等证明材料</w:t>
            </w:r>
            <w:r>
              <w:rPr>
                <w:rFonts w:ascii="宋体" w:cs="宋体" w:hint="eastAsia"/>
                <w:color w:val="auto"/>
                <w:kern w:val="0"/>
                <w:szCs w:val="24"/>
                <w:lang w:val="en-US" w:eastAsia="zh-CN"/>
                <w:highlight w:val="auto"/>
              </w:rPr>
              <w:t>加盖制造商公章</w:t>
            </w:r>
            <w:r>
              <w:rPr>
                <w:rFonts w:ascii="宋体" w:cs="宋体" w:hint="eastAsia"/>
                <w:color w:val="auto"/>
                <w:kern w:val="0"/>
                <w:szCs w:val="24"/>
                <w:highlight w:val="auto"/>
              </w:rPr>
              <w:t>。）</w:t>
            </w:r>
          </w:p>
        </w:tc>
      </w:tr>
      <w:tr>
        <w:trPr>
          <w:trHeight w:val="882"/>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可一键自动完成溶剂杯压紧、样品篮提升（下降）；一键自动完成浸提、热抽提、溶剂收集与回收等程序。每个加热位可单独控制开启和关闭，并通过弹性加热板传热到溶剂杯，确保加热条件一致性。</w:t>
            </w:r>
          </w:p>
        </w:tc>
      </w:tr>
      <w:tr>
        <w:trPr>
          <w:trHeight w:val="900"/>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适用于各种有机溶剂，包括石油醚、乙醚、醇类、仿类等部分有机溶剂的使用，配置低沸点有机溶剂（如乙醚、石油醚）泄漏报警，泄漏达到造成危险时报警系统启动并停止加热。</w:t>
            </w:r>
          </w:p>
        </w:tc>
      </w:tr>
      <w:tr>
        <w:trPr>
          <w:trHeight w:val="278"/>
        </w:trPr>
        <w:tc>
          <w:tcPr>
            <w:vMerge/>
            <w:noWrap/>
            <w:vAlign w:val="center"/>
          </w:tc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配备2种溶剂杯（玻璃、金属）供不同的样品场景使用。</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菜单式程序编辑，直观易操作，可循环多次调用。</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2.8</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密封接头及溶剂管路耐有机溶剂。</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2.9</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抽提滤纸杯架自动升降功能。</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2.10</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测定样品数：≥6个/次</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样品量：0.5-15g</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溶剂回收率：≥85%</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控温精度：</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±1℃</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溶剂杯体积：≥150mL</w:t>
            </w:r>
          </w:p>
        </w:tc>
      </w:tr>
      <w:tr>
        <w:trPr>
          <w:trHeight w:val="278"/>
        </w:trPr>
        <w:tc>
          <w:tcPr>
            <w:vMerge/>
            <w:noWrap/>
            <w:vAlign w:val="center"/>
          </w:tcPr>
          <w:p/>
        </w:tc>
        <w:tc>
          <w:tcPr>
            <w:noWrap/>
            <w:vAlign w:val="center"/>
          </w:tcPr>
          <w:p>
            <w:pPr>
              <w:adjustRightInd w:val="0"/>
              <w:snapToGrid w:val="0"/>
              <w:spacing w:line="440" w:lineRule="exact"/>
              <w:jc w:val="center"/>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2.15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溶剂自动添加量：≥100ml</w:t>
            </w:r>
          </w:p>
        </w:tc>
      </w:tr>
      <w:tr>
        <w:trPr>
          <w:trHeight w:val="278"/>
        </w:trPr>
        <w:tc>
          <w:tcPr>
            <w:vMerge w:val="restart"/>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全自动索氏浸提仪主机一套：包括浸提单元和控制单元；</w:t>
            </w:r>
          </w:p>
        </w:tc>
      </w:tr>
      <w:tr>
        <w:trPr>
          <w:trHeight w:val="300"/>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铝质浸提杯、玻璃溶剂杯各2套（6个/套）；</w:t>
            </w:r>
          </w:p>
        </w:tc>
      </w:tr>
      <w:tr>
        <w:trPr>
          <w:trHeight w:val="300"/>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密封圈2套；</w:t>
            </w:r>
          </w:p>
        </w:tc>
      </w:tr>
      <w:tr>
        <w:trPr>
          <w:trHeight w:val="278"/>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滤筒接头1套（6个/套）；</w:t>
            </w:r>
          </w:p>
        </w:tc>
      </w:tr>
      <w:tr>
        <w:trPr>
          <w:trHeight w:val="278"/>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滤纸筒4套（25个/套）；</w:t>
            </w:r>
          </w:p>
        </w:tc>
      </w:tr>
      <w:tr>
        <w:trPr>
          <w:trHeight w:val="278"/>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3.6</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玻璃溶剂收集瓶2个</w:t>
            </w:r>
          </w:p>
        </w:tc>
      </w:tr>
      <w:tr>
        <w:trPr>
          <w:trHeight w:val="278"/>
        </w:trPr>
        <w:tc>
          <w:tcPr>
            <w:vMerge/>
            <w:noWrap/>
            <w:vAlign w:val="center"/>
          </w:tcPr>
          <w:p/>
        </w:tc>
        <w:tc>
          <w:tcPr>
            <w:noWrap/>
            <w:vAlign w:val="center"/>
          </w:tcPr>
          <w:p>
            <w:pPr>
              <w:adjustRightInd w:val="0"/>
              <w:snapToGrid w:val="0"/>
              <w:spacing w:line="440" w:lineRule="exact"/>
              <w:rPr>
                <w:rFonts w:ascii="宋体" w:cs="宋体" w:hint="eastAsia"/>
                <w:color w:val="auto"/>
                <w:szCs w:val="24"/>
                <w:highlight w:val="auto"/>
              </w:rPr>
            </w:pPr>
          </w:p>
        </w:tc>
        <w:tc>
          <w:tcPr>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3.7</w:t>
            </w:r>
          </w:p>
        </w:tc>
        <w:tc>
          <w:tcPr>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相关配件及工具1套</w:t>
            </w:r>
          </w:p>
        </w:tc>
      </w:tr>
    </w:tbl>
    <w:p>
      <w:pPr>
        <w:autoSpaceDE w:val="0"/>
        <w:spacing w:line="560" w:lineRule="exact"/>
        <w:jc w:val="both"/>
        <w:rPr>
          <w:rFonts w:ascii="宋体" w:eastAsia="宋体" w:cs="宋体" w:hint="eastAsia"/>
          <w:b/>
          <w:bCs/>
          <w:color w:val="auto"/>
          <w:szCs w:val="28"/>
          <w:lang w:val="en-US" w:eastAsia="zh-CN"/>
          <w:highlight w:val="auto"/>
        </w:rPr>
      </w:pPr>
    </w:p>
    <w:p>
      <w:pPr>
        <w:autoSpaceDE w:val="0"/>
        <w:spacing w:line="560" w:lineRule="exact"/>
        <w:jc w:val="both"/>
        <w:outlineLvl w:val="4"/>
        <w:rPr>
          <w:rFonts w:ascii="宋体" w:eastAsia="宋体" w:cs="宋体" w:hint="eastAsia"/>
          <w:b/>
          <w:bCs/>
          <w:color w:val="auto"/>
          <w:szCs w:val="28"/>
          <w:lang w:val="en-US" w:eastAsia="zh-CN"/>
          <w:highlight w:val="auto"/>
        </w:rPr>
      </w:pPr>
      <w:r>
        <w:rPr>
          <w:rFonts w:ascii="宋体" w:eastAsia="宋体" w:cs="宋体" w:hint="eastAsia"/>
          <w:b/>
          <w:bCs/>
          <w:color w:val="auto"/>
          <w:szCs w:val="28"/>
          <w:lang w:val="en-US" w:eastAsia="zh-CN"/>
          <w:highlight w:val="auto"/>
        </w:rPr>
        <w:t>氮气发生器</w:t>
      </w:r>
    </w:p>
    <w:tbl>
      <w:tblPr>
        <w:jc w:val="left"/>
        <w:tblInd w:w="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324"/>
        <w:gridCol w:w="1049"/>
        <w:gridCol w:w="810"/>
        <w:gridCol w:w="5672"/>
      </w:tblGrid>
      <w:tr>
        <w:trPr>
          <w:trHeight w:val="503"/>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序号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指标类型</w:t>
              <w:br/>
              <w:t>"★"或"▲"</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条款号</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技术指标内容</w:t>
            </w:r>
          </w:p>
        </w:tc>
      </w:tr>
      <w:tr>
        <w:trPr>
          <w:trHeight w:val="300"/>
        </w:trPr>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1.主要用途</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用于实验室氮吹仪和质谱仪的氮气气源，充分满足其持续、安全运行要求</w:t>
            </w:r>
          </w:p>
        </w:tc>
      </w:tr>
      <w:tr>
        <w:trPr>
          <w:trHeight w:val="278"/>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2.主要技术参数</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工作条件</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2.1.1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电源：220V±</w:t>
            </w:r>
            <w:r>
              <w:rPr>
                <w:rFonts w:ascii="宋体" w:cs="宋体" w:hint="eastAsia"/>
                <w:color w:val="auto"/>
                <w:kern w:val="0"/>
                <w:szCs w:val="24"/>
                <w:lang w:val="en-US" w:eastAsia="zh-CN"/>
                <w:highlight w:val="auto"/>
              </w:rPr>
              <w:t>10</w:t>
            </w:r>
            <w:r>
              <w:rPr>
                <w:rFonts w:ascii="宋体" w:cs="宋体" w:hint="eastAsia"/>
                <w:color w:val="auto"/>
                <w:kern w:val="0"/>
                <w:szCs w:val="24"/>
                <w:highlight w:val="auto"/>
              </w:rPr>
              <w:t>，50Hz</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eastAsia="宋体" w:cs="宋体" w:hint="eastAsia"/>
                <w:color w:val="auto"/>
                <w:szCs w:val="24"/>
                <w:lang w:eastAsia="zh-CN"/>
                <w:highlight w:val="auto"/>
              </w:rPr>
            </w:pPr>
            <w:r>
              <w:rPr>
                <w:rFonts w:ascii="宋体" w:cs="宋体" w:hint="eastAsia"/>
                <w:color w:val="auto"/>
                <w:kern w:val="0"/>
                <w:szCs w:val="24"/>
                <w:highlight w:val="auto"/>
              </w:rPr>
              <w:t>2.1.</w:t>
            </w:r>
            <w:r>
              <w:rPr>
                <w:rFonts w:ascii="宋体" w:cs="宋体" w:hint="eastAsia"/>
                <w:color w:val="auto"/>
                <w:kern w:val="0"/>
                <w:szCs w:val="24"/>
                <w:lang w:val="en-US" w:eastAsia="zh-CN"/>
                <w:highlight w:val="auto"/>
              </w:rPr>
              <w:t>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lang w:val="en-US" w:eastAsia="zh-CN"/>
                <w:highlight w:val="auto"/>
              </w:rPr>
              <w:t>最高</w:t>
            </w:r>
            <w:r>
              <w:rPr>
                <w:rFonts w:ascii="宋体" w:cs="宋体" w:hint="eastAsia"/>
                <w:color w:val="auto"/>
                <w:kern w:val="0"/>
                <w:szCs w:val="24"/>
                <w:highlight w:val="auto"/>
              </w:rPr>
              <w:t>湿度：≥ 80 %</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技术指标</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采用超细化中空纤维膜分离技术</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氮气输出最高压力≥110psi</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氮气流速≥270L/min，氮气最高纯度≥99.5％，氮气露点≤-50℃,</w:t>
            </w:r>
          </w:p>
        </w:tc>
      </w:tr>
      <w:tr>
        <w:trPr>
          <w:trHeight w:val="3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nil"/>
              <w:left w:val="nil"/>
              <w:bottom w:val="nil"/>
              <w:right w:val="nil"/>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 xml:space="preserve">具有双压力保护装置：当氮气发生器内部压力异常时，系统具有自我保护功能 </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无悬浮液体，无邻苯二甲酸酯，颗粒物</w:t>
            </w:r>
            <w:r>
              <w:rPr>
                <w:rFonts w:ascii="宋体" w:cs="宋体" w:hint="eastAsia"/>
                <w:color w:val="auto"/>
                <w:kern w:val="0"/>
                <w:szCs w:val="24"/>
                <w:lang w:val="en-US" w:eastAsia="zh-CN"/>
                <w:highlight w:val="auto"/>
              </w:rPr>
              <w:t>≤</w:t>
            </w:r>
            <w:r>
              <w:rPr>
                <w:rFonts w:ascii="宋体" w:cs="宋体" w:hint="eastAsia"/>
                <w:color w:val="auto"/>
                <w:kern w:val="0"/>
                <w:szCs w:val="24"/>
                <w:highlight w:val="auto"/>
              </w:rPr>
              <w:t xml:space="preserve"> 0.01um</w:t>
            </w:r>
          </w:p>
        </w:tc>
      </w:tr>
      <w:tr>
        <w:trPr>
          <w:trHeight w:val="600"/>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center"/>
              <w:textAlignment w:val="center"/>
              <w:rPr>
                <w:rFonts w:ascii="宋体" w:cs="宋体" w:hint="eastAsia"/>
                <w:color w:val="auto"/>
                <w:szCs w:val="24"/>
                <w:highlight w:val="auto"/>
              </w:rPr>
            </w:pPr>
            <w:r>
              <w:rPr>
                <w:rFonts w:ascii="宋体" w:cs="宋体" w:hint="eastAsia"/>
                <w:color w:val="auto"/>
                <w:kern w:val="0"/>
                <w:szCs w:val="24"/>
                <w:highlight w:val="auto"/>
              </w:rPr>
              <w:t>▲</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2.2.6</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具有实时监测压力、流量等功能，配备故障记录存储系统，具有在线服务和诊断功能</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2.2.7</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配备无油涡旋空压机，空气排气量≥700L/min</w:t>
            </w:r>
          </w:p>
        </w:tc>
      </w:tr>
      <w:tr>
        <w:trPr>
          <w:trHeight w:val="278"/>
        </w:trPr>
        <w:tc>
          <w:tcPr>
            <w:vMerge w:val="restart"/>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★3.主要配置</w:t>
            </w: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3.1</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氮气发生器主机1台</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3.2</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无油空压机1台</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3.3</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空气储罐1个</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3.4</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冷干机1台</w:t>
            </w:r>
          </w:p>
        </w:tc>
      </w:tr>
      <w:tr>
        <w:trPr>
          <w:trHeight w:val="278"/>
        </w:trPr>
        <w:tc>
          <w:tcPr>
            <w:vMerge/>
            <w:tcBorders>
              <w:top w:val="single" w:sz="4" w:space="0" w:color="000000"/>
              <w:left w:val="single" w:sz="4" w:space="0" w:color="000000"/>
              <w:bottom w:val="single" w:sz="4" w:space="0" w:color="000000"/>
              <w:right w:val="single" w:sz="4" w:space="0" w:color="000000"/>
            </w:tcBorders>
            <w:noWrap/>
            <w:vAlign w:val="center"/>
          </w:tcPr>
          <w:p/>
        </w:tc>
        <w:tc>
          <w:tcPr>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440" w:lineRule="exact"/>
              <w:jc w:val="center"/>
              <w:rPr>
                <w:rFonts w:ascii="宋体" w:cs="宋体" w:hint="eastAsia"/>
                <w:color w:val="auto"/>
                <w:szCs w:val="24"/>
                <w:highlight w:val="auto"/>
              </w:rPr>
            </w:pP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3.5</w:t>
            </w:r>
          </w:p>
        </w:tc>
        <w:tc>
          <w:tcPr>
            <w:tcBorders>
              <w:top w:val="single" w:sz="4" w:space="0" w:color="000000"/>
              <w:left w:val="single" w:sz="4" w:space="0" w:color="000000"/>
              <w:bottom w:val="single" w:sz="4" w:space="0" w:color="000000"/>
              <w:right w:val="single" w:sz="4" w:space="0" w:color="000000"/>
            </w:tcBorders>
            <w:noWrap/>
            <w:vAlign w:val="center"/>
          </w:tcPr>
          <w:p>
            <w:pPr>
              <w:widowControl/>
              <w:adjustRightInd w:val="0"/>
              <w:snapToGrid w:val="0"/>
              <w:spacing w:line="440" w:lineRule="exact"/>
              <w:jc w:val="left"/>
              <w:textAlignment w:val="center"/>
              <w:rPr>
                <w:rFonts w:ascii="宋体" w:cs="宋体" w:hint="eastAsia"/>
                <w:color w:val="auto"/>
                <w:szCs w:val="24"/>
                <w:highlight w:val="auto"/>
              </w:rPr>
            </w:pPr>
            <w:r>
              <w:rPr>
                <w:rFonts w:ascii="宋体" w:cs="宋体" w:hint="eastAsia"/>
                <w:color w:val="auto"/>
                <w:kern w:val="0"/>
                <w:szCs w:val="24"/>
                <w:highlight w:val="auto"/>
              </w:rPr>
              <w:t>过滤器1个</w:t>
            </w:r>
          </w:p>
        </w:tc>
      </w:tr>
    </w:tbl>
    <w:p>
      <w:pPr>
        <w:keepNext w:val="0"/>
        <w:keepLines w:val="0"/>
        <w:pageBreakBefore w:val="0"/>
        <w:widowControl w:val="0"/>
        <w:kinsoku/>
        <w:wordWrap/>
        <w:overflowPunct/>
        <w:topLinePunct w:val="0"/>
        <w:autoSpaceDE/>
        <w:autoSpaceDN/>
        <w:bidi w:val="0"/>
        <w:snapToGrid w:val="0"/>
        <w:spacing w:line="440" w:lineRule="exact"/>
        <w:ind w:right="0" w:firstLineChars="200" w:firstLine="480"/>
        <w:rPr>
          <w:rFonts w:ascii="宋体" w:eastAsia="宋体" w:cs="宋体" w:hint="eastAsia"/>
          <w:b w:val="0"/>
          <w:bCs w:val="0"/>
          <w:color w:val="auto"/>
          <w:sz w:val="24"/>
          <w:szCs w:val="24"/>
          <w:highlight w:val="auto"/>
        </w:rPr>
      </w:pPr>
      <w:r>
        <w:rPr>
          <w:rFonts w:ascii="宋体" w:eastAsia="宋体" w:cs="宋体" w:hint="eastAsia"/>
          <w:b/>
          <w:bCs/>
          <w:color w:val="auto"/>
          <w:sz w:val="24"/>
          <w:szCs w:val="24"/>
          <w:highlight w:val="auto"/>
        </w:rPr>
        <w:br w:type="page"/>
      </w:r>
    </w:p>
    <w:p>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ascii="宋体" w:eastAsia="宋体" w:cs="宋体" w:hint="eastAsia"/>
          <w:b/>
          <w:color w:val="auto"/>
          <w:sz w:val="28"/>
          <w:szCs w:val="28"/>
          <w:lang w:val="en-US" w:eastAsia="zh-CN"/>
          <w:highlight w:val="auto"/>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0"/>
        <w:rPr>
          <w:rFonts w:ascii="宋体" w:eastAsia="宋体" w:cs="宋体" w:hint="eastAsia"/>
          <w:b/>
          <w:color w:val="auto"/>
          <w:sz w:val="24"/>
          <w:szCs w:val="24"/>
          <w:highlight w:val="auto"/>
        </w:rPr>
      </w:pPr>
      <w:r>
        <w:rPr>
          <w:rFonts w:ascii="宋体" w:eastAsia="宋体" w:cs="宋体" w:hint="eastAsia"/>
          <w:b/>
          <w:color w:val="auto"/>
          <w:sz w:val="28"/>
          <w:szCs w:val="28"/>
          <w:lang w:val="en-US" w:eastAsia="zh-CN"/>
          <w:highlight w:val="auto"/>
        </w:rPr>
        <w:t>四、</w:t>
      </w:r>
      <w:r>
        <w:rPr>
          <w:rFonts w:ascii="宋体" w:eastAsia="宋体" w:cs="宋体" w:hint="eastAsia"/>
          <w:b/>
          <w:color w:val="auto"/>
          <w:sz w:val="28"/>
          <w:szCs w:val="28"/>
          <w:highlight w:val="auto"/>
        </w:rPr>
        <w:t>商务要求</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1、合同履约期限：合同签订后30日历天内完成项目供货和安装、调试、培训并验收完毕（供应商应予以特别注意：如出现未能到期供货的情况，需求单位有权单方终止合同的执行，所有的经济损失由逾期供货商单方承担）。</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2、交货地点：采购人指定地点。</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3、付款方式和条件：合同签订后，乙方向甲方交付履约保证金后，预付60%合同款。安装验收合格后付清。(具体以最终签订合同约定为准)</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4、售后服务要求：</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1）中标供应商应提供原产商质量保证和售后服务承诺书。在质量保证期内设备发生故障，中标供应商应提供原厂商售后维修和更换零件服务。质保期后，中标供应商提供设备终身技术支持，包括故障排除和零配件的供应、仪器软件升级和培训；设备出现故障需更换配件时，只收取零配件费用。合同签订后，在1周内中标供应商将仪器操作间的装修要求和水、电、气要求通知需求单位；</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2）中标供应商负责将设备运至采购人指定的地点，负责安装，安装所需条件由中标商提供，完成现场培训及技术应用培训。中标价应包含产品的制造、材料费（主材及辅材）、运输、安装、调试、培训验收、保修、税收、所有手续费等直至验收合格交付采购方使用的所有相关费用。中标价格在中标后的合同实施期间应保持不变，即不因市场价格或政策性价格的调整而增减（若因中标供应商责任而导致的需方依据合同条款对中标供应商的扣款处罚除外）；</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（3）货到后，中标供应商负责派技术人员到现场进行安装、调试，直至验收合格；</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4）验收：①如需要，中标供应商须提供产品的原厂技术文件以及验收要求的校准文件或计量证书。属于中华人民共和国强制检定计量器具，中标供应商须负责提供法定计量证书。所需费用由中标供应商承担。②中标供应商设备供货、安装施工、调试、工程验收、货物运输、售后服务等均应符合国家相关法律、法规以及国家标准、相关行业标准。中标供应商提供设备的制造标准、安装标准及技术规范等有关资料必须符合国家相应的有关标准、规范要求。③中标供应商应向需求单位提供完整的设备技术资料、货物制造商的出厂检验报告、合格证书、产品保证书、认证书、及政府许可证明、说明书等，保证产品和安装材料是新生产、未经过使用的原装原厂正品。如在交付使用前发生设备损坏和不合格，需求单位有权要求退货，因此造成的一切损失由供应商承担。④中标供应商根据合同要求进行系统安装、调试后，由需求单位进行使用性能方面的验收，确保在使用过程内具有满意的性能。如质量不符合要求，供应商应无条件及时更换并不得以任何原因拖延。⑤需求单位根据招标文件、中标供应商的竞标文件、合同、制造厂商的产品验收标准及中华人民共和国有关标准进行验收。需求单位有权委托中国具权威资质机构对设备的灵敏度、测量精度等技术性能进行验收。因中标供应商所提供的产品未达到招标文件中技术性能指标的，一律拒收，不予付款，需求单位有权因此终止合同的执行，中标商将自行承担所有经济损失；同时，需求单位将保留向中标供应商因设备延迟到位而造成对口岸检验业务的不良影响追索相应“违约”责任的权利；</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（5）中标供应商能响应故障处理请求和电话咨询，提供7x24小时技术支持，4小时内响应和24小时内提出解决方案，一般应在48小时内派人到现场维修的售后服务。中标供应商应提供维保人员名单、联系电话等；</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（6）现场培训：仪器在安装调试同时，中标供应商负责派工程师对用户就仪器原理和基本操作进行现场培训，培训人员人数不限，培训时间视需求单位需要，原则上不少于2天，确保需求单位用户能正常操作。</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（7）集中培训：A包中标供应商提供全自动QuEChERS样品前处理平台、凝胶渗透色谱仪需求单位每台设备至少2名技术人员到厂家国内指定地点进行相同设备专项技能培训，培训时间原则上不少于3天。</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C包中标供应商提供凝胶成像仪需求单位每台设备至少2名技术人员到厂家国内指定地点进行相同设备专项技能培训，培训时间原则上不少于3天。</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5、质保期：产品安装调试经用户验收合格当天起，基础质保期3年，质保包括所有配件、耗材，在质保期内，产品因故障停用，质保期相应顺延。质保期外，能够及时地为用户提供仪器关键零备件、消耗品等。</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6、履约保证金：</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中标供应商在签订合同前，须以银行转账、支票、汇票、本票、保函(保险)等非现金形式向采购人交纳中标金额 10% 的履约保证金，签订合同后，若中标供应商不按双方签订合同规定履约，则无权要求退回履约保证金，履 约保证金不足以赔偿损失的，按实际损失赔偿。项目验收通过后无息退还。</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r>
        <w:rPr>
          <w:rFonts w:ascii="宋体" w:eastAsia="宋体" w:cs="宋体" w:hint="eastAsia"/>
          <w:b w:val="0"/>
          <w:bCs/>
          <w:color w:val="auto"/>
          <w:sz w:val="24"/>
          <w:szCs w:val="24"/>
          <w:lang w:val="en-US" w:eastAsia="zh-CN"/>
          <w:highlight w:val="auto"/>
        </w:rPr>
        <w:t>7、投标有效期：投标文件提交截止之日起90日。</w:t>
      </w:r>
    </w:p>
    <w:p>
      <w:pPr>
        <w:pStyle w:val="22"/>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left="0" w:firstLineChars="200" w:firstLine="480"/>
        <w:textAlignment w:val="auto"/>
        <w:rPr>
          <w:rFonts w:ascii="宋体" w:eastAsia="宋体" w:cs="宋体" w:hint="eastAsia"/>
          <w:b w:val="0"/>
          <w:bCs/>
          <w:color w:val="auto"/>
          <w:sz w:val="24"/>
          <w:szCs w:val="24"/>
          <w:lang w:val="en-US" w:eastAsia="zh-CN"/>
          <w:highlight w:val="auto"/>
        </w:rPr>
      </w:pPr>
    </w:p>
    <w:p>
      <w:pPr>
        <w:pStyle w:val="16"/>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0"/>
        <w:rPr>
          <w:rFonts w:hint="eastAsia"/>
          <w:b/>
          <w:bCs/>
          <w:color w:val="auto"/>
          <w:sz w:val="28"/>
          <w:szCs w:val="28"/>
          <w:lang w:val="en-US" w:eastAsia="zh-CN"/>
          <w:highlight w:val="auto"/>
        </w:rPr>
      </w:pPr>
      <w:r>
        <w:rPr>
          <w:rFonts w:hint="eastAsia"/>
          <w:b/>
          <w:bCs/>
          <w:color w:val="auto"/>
          <w:sz w:val="32"/>
          <w:szCs w:val="32"/>
          <w:lang w:val="en-US" w:eastAsia="zh-CN"/>
          <w:highlight w:val="auto"/>
        </w:rPr>
        <w:t>五、评分办法</w:t>
      </w:r>
    </w:p>
    <w:p>
      <w:pPr>
        <w:keepNext w:val="0"/>
        <w:keepLines w:val="0"/>
        <w:pageBreakBefore w:val="0"/>
        <w:widowControl w:val="0"/>
        <w:kinsoku/>
        <w:wordWrap/>
        <w:overflowPunct/>
        <w:topLinePunct w:val="0"/>
        <w:autoSpaceDE/>
        <w:autoSpaceDN/>
        <w:bidi w:val="0"/>
        <w:adjustRightInd/>
        <w:snapToGrid w:val="0"/>
        <w:spacing w:line="360" w:lineRule="auto"/>
        <w:ind w:left="0" w:firstLineChars="200" w:firstLine="480"/>
        <w:jc w:val="both"/>
        <w:textAlignment w:val="auto"/>
        <w:rPr>
          <w:color w:val="auto"/>
          <w:sz w:val="28"/>
          <w:szCs w:val="28"/>
          <w:lang w:val="en-US" w:eastAsia="zh-CN"/>
          <w:highlight w:val="auto"/>
        </w:rPr>
      </w:pPr>
      <w:r>
        <w:rPr>
          <w:rFonts w:ascii="宋体" w:eastAsia="宋体" w:cs="宋体" w:hint="eastAsia"/>
          <w:color w:val="auto"/>
          <w:sz w:val="24"/>
          <w:szCs w:val="24"/>
          <w:highlight w:val="auto"/>
        </w:rPr>
        <w:t>本项目采用</w:t>
      </w:r>
      <w:r>
        <w:rPr>
          <w:rFonts w:ascii="宋体" w:eastAsia="宋体" w:cs="宋体" w:hint="eastAsia"/>
          <w:color w:val="auto"/>
          <w:sz w:val="24"/>
          <w:szCs w:val="24"/>
          <w:u w:val="single"/>
          <w:highlight w:val="auto"/>
        </w:rPr>
        <w:t xml:space="preserve">  综合评分法  </w:t>
      </w:r>
      <w:r>
        <w:rPr>
          <w:rFonts w:ascii="宋体" w:eastAsia="宋体" w:cs="宋体" w:hint="eastAsia"/>
          <w:color w:val="auto"/>
          <w:sz w:val="24"/>
          <w:szCs w:val="24"/>
          <w:highlight w:val="auto"/>
        </w:rPr>
        <w:t>进行评审。</w:t>
      </w:r>
    </w:p>
    <w:p>
      <w:pPr>
        <w:pStyle w:val="16"/>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0"/>
        <w:rPr>
          <w:rFonts w:hint="eastAsia"/>
          <w:color w:val="auto"/>
          <w:sz w:val="28"/>
          <w:szCs w:val="28"/>
          <w:lang w:val="en-US" w:eastAsia="zh-CN"/>
          <w:highlight w:val="auto"/>
        </w:rPr>
      </w:pPr>
    </w:p>
    <w:p>
      <w:pPr>
        <w:pStyle w:val="16"/>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0"/>
        <w:rPr>
          <w:rFonts w:hint="eastAsia"/>
          <w:b/>
          <w:bCs/>
          <w:color w:val="auto"/>
          <w:sz w:val="28"/>
          <w:szCs w:val="28"/>
          <w:lang w:val="en-US" w:eastAsia="zh-CN"/>
          <w:highlight w:val="auto"/>
        </w:rPr>
      </w:pPr>
      <w:r>
        <w:rPr>
          <w:rFonts w:hint="eastAsia"/>
          <w:b/>
          <w:bCs/>
          <w:color w:val="auto"/>
          <w:sz w:val="28"/>
          <w:szCs w:val="28"/>
          <w:lang w:val="en-US" w:eastAsia="zh-CN"/>
          <w:highlight w:val="auto"/>
        </w:rPr>
        <w:t>六、无效投标情形</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w:t>
      </w:r>
      <w:r>
        <w:rPr>
          <w:rFonts w:ascii="宋体" w:eastAsia="宋体" w:cs="宋体" w:hint="eastAsia"/>
          <w:color w:val="auto"/>
          <w:sz w:val="24"/>
          <w:szCs w:val="24"/>
          <w:lang w:val="en-US" w:eastAsia="zh-CN"/>
          <w:highlight w:val="auto"/>
        </w:rPr>
        <w:t>未按采购文件规定缴纳投标保证金的。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2、</w:t>
      </w:r>
      <w:r>
        <w:rPr>
          <w:rFonts w:ascii="宋体" w:eastAsia="宋体" w:cs="宋体" w:hint="eastAsia"/>
          <w:color w:val="auto"/>
          <w:sz w:val="24"/>
          <w:szCs w:val="24"/>
          <w:lang w:val="en-US" w:eastAsia="zh-CN"/>
          <w:highlight w:val="auto"/>
        </w:rPr>
        <w:t xml:space="preserve"> 报价超过采购预算或最高限价（若有）的。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3、</w:t>
      </w:r>
      <w:r>
        <w:rPr>
          <w:rFonts w:ascii="宋体" w:eastAsia="宋体" w:cs="宋体" w:hint="eastAsia"/>
          <w:color w:val="auto"/>
          <w:sz w:val="24"/>
          <w:szCs w:val="24"/>
          <w:lang w:val="en-US" w:eastAsia="zh-CN"/>
          <w:highlight w:val="auto"/>
        </w:rPr>
        <w:t>未按照采购文件规定进行签署、盖章的。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4、</w:t>
      </w:r>
      <w:r>
        <w:rPr>
          <w:rFonts w:ascii="宋体" w:eastAsia="宋体" w:cs="宋体" w:hint="eastAsia"/>
          <w:color w:val="auto"/>
          <w:sz w:val="24"/>
          <w:szCs w:val="24"/>
          <w:lang w:val="en-US" w:eastAsia="zh-CN"/>
          <w:highlight w:val="auto"/>
        </w:rPr>
        <w:t>投标有效期不满足要求的。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5、</w:t>
      </w:r>
      <w:r>
        <w:rPr>
          <w:rFonts w:ascii="宋体" w:eastAsia="宋体" w:cs="宋体" w:hint="eastAsia"/>
          <w:color w:val="auto"/>
          <w:sz w:val="24"/>
          <w:szCs w:val="24"/>
          <w:lang w:val="en-US" w:eastAsia="zh-CN"/>
          <w:highlight w:val="auto"/>
        </w:rPr>
        <w:t>不具备采购文件规定资格（质）要求的或没有提供证明材料以证明具备采购文件中规定资格（质）要求的。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6、</w:t>
      </w:r>
      <w:r>
        <w:rPr>
          <w:rFonts w:ascii="宋体" w:eastAsia="宋体" w:cs="宋体" w:hint="eastAsia"/>
          <w:color w:val="auto"/>
          <w:sz w:val="24"/>
          <w:szCs w:val="24"/>
          <w:lang w:val="en-US" w:eastAsia="zh-CN"/>
          <w:highlight w:val="auto"/>
        </w:rPr>
        <w:t>投标文件未按采购文件规定的格式填写，或填写的内容不全，或辨认不清产生歧义，或涂改处未加盖投标供应商公章或法定代表人印章的。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7、</w:t>
      </w:r>
      <w:r>
        <w:rPr>
          <w:rFonts w:ascii="宋体" w:eastAsia="宋体" w:cs="宋体" w:hint="eastAsia"/>
          <w:color w:val="auto"/>
          <w:sz w:val="24"/>
          <w:szCs w:val="24"/>
          <w:lang w:val="en-US" w:eastAsia="zh-CN"/>
          <w:highlight w:val="auto"/>
        </w:rPr>
        <w:t>投标供应商提交两份以上内容不同的投标文件，或者在同一份投标文件中对同一内容报两个以上报价的。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8、</w:t>
      </w:r>
      <w:r>
        <w:rPr>
          <w:rFonts w:ascii="宋体" w:eastAsia="宋体" w:cs="宋体" w:hint="eastAsia"/>
          <w:color w:val="auto"/>
          <w:sz w:val="24"/>
          <w:szCs w:val="24"/>
          <w:lang w:val="en-US" w:eastAsia="zh-CN"/>
          <w:highlight w:val="auto"/>
        </w:rPr>
        <w:t>投标供应商与通过资格审查的单位在名称和组织结构上不一致，不能提供其权利义务转移的合法有效证明的。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9、</w:t>
      </w:r>
      <w:r>
        <w:rPr>
          <w:rFonts w:ascii="宋体" w:eastAsia="宋体" w:cs="宋体" w:hint="eastAsia"/>
          <w:color w:val="auto"/>
          <w:sz w:val="24"/>
          <w:szCs w:val="24"/>
          <w:lang w:val="en-US" w:eastAsia="zh-CN"/>
          <w:highlight w:val="auto"/>
        </w:rPr>
        <w:t>评标委员会认为投标供应商的报价明显低于其他通过符合性审查投标供应商的报价，有可能影响产品质量或不能诚信履约的，要求其在评标现场合理的时间内提供书面说明、或提交相关证明材料；投标供应商不能证明其报价合理性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10、</w:t>
      </w:r>
      <w:r>
        <w:rPr>
          <w:rFonts w:ascii="宋体" w:eastAsia="宋体" w:cs="宋体" w:hint="eastAsia"/>
          <w:color w:val="auto"/>
          <w:sz w:val="24"/>
          <w:szCs w:val="24"/>
          <w:lang w:val="en-US" w:eastAsia="zh-CN"/>
          <w:highlight w:val="auto"/>
        </w:rPr>
        <w:t>投标供应商以他人名义投标、串通投标、以行贿手段谋取中标或者以弄虚作假等方式投标的。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11、</w:t>
      </w:r>
      <w:r>
        <w:rPr>
          <w:rFonts w:ascii="宋体" w:eastAsia="宋体" w:cs="宋体" w:hint="eastAsia"/>
          <w:color w:val="auto"/>
          <w:sz w:val="24"/>
          <w:szCs w:val="24"/>
          <w:lang w:val="en-US" w:eastAsia="zh-CN"/>
          <w:highlight w:val="auto"/>
        </w:rPr>
        <w:t>投标文件附有采购人不能接受的附加条件的。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12、</w:t>
      </w:r>
      <w:r>
        <w:rPr>
          <w:rFonts w:ascii="宋体" w:eastAsia="宋体" w:cs="宋体" w:hint="eastAsia"/>
          <w:color w:val="auto"/>
          <w:sz w:val="24"/>
          <w:szCs w:val="24"/>
          <w:lang w:val="en-US" w:eastAsia="zh-CN"/>
          <w:highlight w:val="auto"/>
        </w:rPr>
        <w:t>投标供应商拒不按照要求对投标文件进行澄清、说明或者补正的。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13、</w:t>
      </w:r>
      <w:r>
        <w:rPr>
          <w:rFonts w:ascii="宋体" w:eastAsia="宋体" w:cs="宋体" w:hint="eastAsia"/>
          <w:color w:val="auto"/>
          <w:sz w:val="24"/>
          <w:szCs w:val="24"/>
          <w:lang w:val="en-US" w:eastAsia="zh-CN"/>
          <w:highlight w:val="auto"/>
        </w:rPr>
        <w:t xml:space="preserve">投标产品数量、供货范围（或交货地点）、合同履约期限、付款方式等不满足采购文件要求的。 </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14、</w:t>
      </w:r>
      <w:r>
        <w:rPr>
          <w:rFonts w:ascii="宋体" w:eastAsia="宋体" w:cs="宋体" w:hint="eastAsia"/>
          <w:color w:val="auto"/>
          <w:sz w:val="24"/>
          <w:szCs w:val="24"/>
          <w:lang w:val="en-US" w:eastAsia="zh-CN"/>
          <w:highlight w:val="auto"/>
        </w:rPr>
        <w:t>存在下列情形之一的，视为投标供应商串通投标：</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（1）不同投标供应商的投标文件由同一单位或者个人编制。</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（2）不同投标供应商委托同一单位或者个人办理投标事宜。</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（3）不同投标供应商的投标文件载明的项目管理成员或者联系人员为同一人。</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（4）不同投标供应商的投标文件异常一致或者投标报价呈规律性差异。</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（5）不同投标供应商的投标文件相互混装。</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（6）不同投标供应商的投标保证金从同一单位或者个人的账户转出。</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15、</w:t>
      </w:r>
      <w:r>
        <w:rPr>
          <w:rFonts w:ascii="宋体" w:eastAsia="宋体" w:cs="宋体" w:hint="eastAsia"/>
          <w:color w:val="auto"/>
          <w:sz w:val="24"/>
          <w:szCs w:val="24"/>
          <w:lang w:val="en-US" w:eastAsia="zh-CN"/>
          <w:highlight w:val="auto"/>
        </w:rPr>
        <w:t xml:space="preserve"> 属于“节能产品政府采购品目清单”范围且标注为“政府强制采购产品”实施强制采购的，未提供或未提供齐全国家确定的认证机构出具的、处于有效期之内的节能产品认证证书的。</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color w:val="auto"/>
          <w:sz w:val="24"/>
          <w:szCs w:val="24"/>
          <w:lang w:val="en-US" w:eastAsia="zh-CN"/>
          <w:highlight w:val="auto"/>
        </w:rPr>
      </w:pPr>
      <w:r>
        <w:rPr>
          <w:rFonts w:ascii="宋体" w:cs="宋体" w:hint="eastAsia"/>
          <w:color w:val="auto"/>
          <w:sz w:val="24"/>
          <w:szCs w:val="24"/>
          <w:lang w:val="en-US" w:eastAsia="zh-CN"/>
          <w:highlight w:val="auto"/>
        </w:rPr>
        <w:t>16、</w:t>
      </w:r>
      <w:r>
        <w:rPr>
          <w:rFonts w:ascii="宋体" w:eastAsia="宋体" w:cs="宋体" w:hint="eastAsia"/>
          <w:color w:val="auto"/>
          <w:sz w:val="24"/>
          <w:szCs w:val="24"/>
          <w:lang w:val="en-US" w:eastAsia="zh-CN"/>
          <w:highlight w:val="auto"/>
        </w:rPr>
        <w:t>法律、法规和采购文件规定的其他无效情形。</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firstLineChars="200" w:firstLine="480"/>
        <w:textAlignment w:val="auto"/>
        <w:rPr>
          <w:rFonts w:ascii="宋体" w:eastAsia="宋体" w:cs="宋体" w:hint="eastAsia"/>
          <w:b/>
          <w:bCs/>
          <w:color w:val="auto"/>
          <w:sz w:val="24"/>
          <w:szCs w:val="24"/>
          <w:lang w:val="en-US" w:eastAsia="zh-CN"/>
          <w:highlight w:val="auto"/>
        </w:rPr>
      </w:pPr>
      <w:r>
        <w:rPr>
          <w:rFonts w:ascii="宋体" w:eastAsia="宋体" w:cs="宋体" w:hint="eastAsia"/>
          <w:b/>
          <w:bCs/>
          <w:color w:val="auto"/>
          <w:sz w:val="24"/>
          <w:szCs w:val="24"/>
          <w:lang w:val="en-US" w:eastAsia="zh-CN"/>
          <w:highlight w:val="auto"/>
        </w:rPr>
        <w:t>注：本公示内容仅为采购人对本项目的需求公示，具体内容以最终采购文件发售稿为准。</w:t>
      </w:r>
    </w:p>
    <w:p>
      <w:pPr>
        <w:pStyle w:val="16"/>
        <w:keepNext w:val="0"/>
        <w:keepLines w:val="0"/>
        <w:pageBreakBefore w:val="0"/>
        <w:widowControl w:val="0"/>
        <w:kinsoku/>
        <w:wordWrap/>
        <w:overflowPunct/>
        <w:topLinePunct w:val="0"/>
        <w:bidi w:val="0"/>
        <w:snapToGrid w:val="0"/>
        <w:spacing w:line="360" w:lineRule="auto"/>
        <w:ind w:firstLineChars="200" w:firstLine="480"/>
        <w:textAlignment w:val="auto"/>
        <w:rPr>
          <w:color w:val="auto"/>
          <w:sz w:val="24"/>
          <w:szCs w:val="24"/>
          <w:lang w:val="en-US" w:eastAsia="zh-CN"/>
          <w:highlight w:val="auto"/>
        </w:rPr>
      </w:pPr>
    </w:p>
    <w:sectPr>
      <w:pgSz w:w="11906" w:h="16838"/>
      <w:pgMar w:top="1304" w:right="1587" w:bottom="1304" w:left="158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0"/>
    <w:family w:val="auto"/>
    <w:pitch w:val="variable"/>
    <w:sig w:usb0="00000003" w:usb1="288F0000" w:usb2="00000006" w:usb3="00000000" w:csb0="00040001" w:csb1="00000000"/>
  </w:font>
  <w:font w:name="Times New Roman">
    <w:panose1 w:val="02020603050405020304"/>
    <w:charset w:val="86"/>
    <w:family w:val="roman"/>
    <w:pitch w:val="variable"/>
    <w:sig w:usb0="E0002EFF" w:usb1="C000785B" w:usb2="00000009" w:usb3="00000000" w:csb0="400001FF" w:csb1="FFFF0000"/>
  </w:font>
  <w:font w:name="Calibri">
    <w:panose1 w:val="020F0502020204030204"/>
    <w:charset w:val="00"/>
    <w:family w:val="swiss"/>
    <w:pitch w:val="variable"/>
    <w:sig w:usb0="E0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 w:name="方正小标宋简体">
    <w:altName w:val="黑体"/>
    <w:panose1 w:val="02000000000000000000"/>
    <w:charset w:val="86"/>
    <w:family w:val="script"/>
    <w:pitch w:val="variable"/>
    <w:sig w:usb0="00000000" w:usb1="00000000" w:usb2="00000000" w:usb3="00000000" w:csb0="00040000" w:csb1="00000000"/>
  </w:font>
  <w:font w:name="Cambria">
    <w:panose1 w:val="02040503050406030204"/>
    <w:charset w:val="00"/>
    <w:family w:val="roman"/>
    <w:pitch w:val="variable"/>
    <w:sig w:usb0="E00006FF" w:usb1="420024FF" w:usb2="02000000" w:usb3="00000000" w:csb0="2000019F" w:csb1="00000000"/>
  </w:font>
  <w:font w:name="黑体">
    <w:panose1 w:val="02010609060101010101"/>
    <w:charset w:val="86"/>
    <w:family w:val="auto"/>
    <w:pitch w:val="variable"/>
    <w:sig w:usb0="800002BF" w:usb1="38CF7CFA" w:usb2="00000016" w:usb3="00000000" w:csb0="00040001" w:csb1="00000000"/>
  </w:font>
  <w:font w:name="方正书宋简体">
    <w:altName w:val="宋体"/>
    <w:panose1 w:val="00000000000000000000"/>
    <w:charset w:val="86"/>
    <w:family w:val="auto"/>
    <w:pitch w:val="variable"/>
    <w:sig w:usb0="00000000" w:usb1="00000000" w:usb2="00000010" w:usb3="00000000" w:csb0="00040000" w:csb1="00000000"/>
  </w:font>
  <w:font w:name="Century Gothic">
    <w:altName w:val="Segoe Print"/>
    <w:panose1 w:val="020B0502020202020204"/>
    <w:charset w:val="00"/>
    <w:family w:val="swiss"/>
    <w:pitch w:val="variable"/>
    <w:sig w:usb0="00000000" w:usb1="00000000" w:usb2="00000000" w:usb3="00000000" w:csb0="2000009F" w:csb1="DFD70000"/>
  </w:font>
  <w:font w:name="Symbol">
    <w:panose1 w:val="05050102010706020507"/>
    <w:charset w:val="02"/>
    <w:family w:val="roman"/>
    <w:pitch w:val="variable"/>
    <w:sig w:usb0="00000000" w:usb1="00000000" w:usb2="00000000" w:usb3="00000000" w:csb0="80000000" w:csb1="00000000"/>
  </w:font>
  <w:font w:name="方正黑体_GBK">
    <w:altName w:val="微软雅黑"/>
    <w:panose1 w:val="03000509000000000000"/>
    <w:charset w:val="86"/>
    <w:family w:val="auto"/>
    <w:pitch w:val="variable"/>
    <w:sig w:usb0="00000000" w:usb1="00000000" w:usb2="0000000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mY5Njk1MzgyMWIyNzc4NzczODQ5MjUxM2UzNzljZT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Calibri" w:eastAsia="宋体" w:cs="Arial" w:hAnsi="Calibri"/>
      <w:kern w:val="2"/>
      <w:sz w:val="21"/>
      <w:szCs w:val="24"/>
      <w:lang w:val="en-US" w:eastAsia="zh-CN" w:bidi="ar-SA"/>
    </w:rPr>
  </w:style>
  <w:style w:type="paragraph" w:styleId="1">
    <w:name w:val="heading 1"/>
    <w:basedOn w:val="0"/>
    <w:autoRedefine/>
    <w:next w:val="0"/>
    <w:pPr>
      <w:keepNext/>
      <w:keepLines/>
      <w:widowControl w:val="0"/>
      <w:jc w:val="center"/>
      <w:outlineLvl w:val="0"/>
    </w:pPr>
    <w:rPr>
      <w:rFonts w:eastAsia="方正小标宋简体"/>
      <w:bCs/>
      <w:kern w:val="44"/>
      <w:sz w:val="32"/>
      <w:szCs w:val="44"/>
    </w:rPr>
  </w:style>
  <w:style w:type="paragraph" w:styleId="2">
    <w:name w:val="heading 2"/>
    <w:basedOn w:val="0"/>
    <w:autoRedefine/>
    <w:next w:val="0"/>
    <w:pPr>
      <w:keepNext/>
      <w:keepLines/>
      <w:widowControl w:val="0"/>
      <w:jc w:val="center"/>
      <w:outlineLvl w:val="1"/>
    </w:pPr>
    <w:rPr>
      <w:rFonts w:ascii="Cambria" w:eastAsia="方正小标宋简体" w:hAnsi="Cambria"/>
      <w:bCs/>
      <w:kern w:val="0"/>
      <w:sz w:val="28"/>
      <w:szCs w:val="32"/>
    </w:rPr>
  </w:style>
  <w:style w:type="paragraph" w:styleId="3">
    <w:name w:val="heading 3"/>
    <w:basedOn w:val="0"/>
    <w:autoRedefine/>
    <w:next w:val="0"/>
    <w:pPr>
      <w:keepNext/>
      <w:keepLines/>
      <w:widowControl w:val="0"/>
      <w:jc w:val="center"/>
      <w:outlineLvl w:val="2"/>
    </w:pPr>
    <w:rPr>
      <w:rFonts w:eastAsia="黑体"/>
      <w:bCs/>
      <w:kern w:val="0"/>
      <w:sz w:val="24"/>
      <w:szCs w:val="32"/>
    </w:rPr>
  </w:style>
  <w:style w:type="character" w:default="1" w:styleId="10">
    <w:name w:val="Default Paragraph Font"/>
    <w:autoRedefine/>
  </w:style>
  <w:style w:type="paragraph" w:styleId="15">
    <w:name w:val="annotation text"/>
    <w:basedOn w:val="0"/>
    <w:pPr>
      <w:jc w:val="left"/>
    </w:pPr>
    <w:rPr>
      <w:rFonts w:ascii="Times New Roman" w:eastAsia="宋体" w:cs="Times New Roman" w:hAnsi="Times New Roman"/>
      <w:kern w:val="2"/>
      <w:sz w:val="21"/>
    </w:rPr>
  </w:style>
  <w:style w:type="paragraph" w:styleId="16">
    <w:name w:val="Body Text"/>
    <w:basedOn w:val="0"/>
    <w:autoRedefine/>
    <w:next w:val="0"/>
    <w:pPr>
      <w:spacing w:after="120"/>
    </w:pPr>
    <w:rPr>
      <w:rFonts w:ascii="Calibri" w:eastAsia="宋体" w:hAnsi="Calibri"/>
      <w:szCs w:val="22"/>
    </w:rPr>
  </w:style>
  <w:style w:type="paragraph" w:styleId="17">
    <w:name w:val="Body Text Indent"/>
    <w:basedOn w:val="0"/>
    <w:autoRedefine/>
    <w:pPr>
      <w:spacing w:line="380" w:lineRule="exact"/>
      <w:ind w:firstLine="480"/>
    </w:pPr>
    <w:rPr>
      <w:rFonts w:eastAsia="方正书宋简体"/>
      <w:szCs w:val="20"/>
    </w:rPr>
  </w:style>
  <w:style w:type="paragraph" w:styleId="18">
    <w:name w:val="Date"/>
    <w:basedOn w:val="0"/>
    <w:autoRedefine/>
    <w:next w:val="0"/>
    <w:pPr>
      <w:ind w:leftChars="2500" w:left="2500"/>
    </w:pPr>
    <w:rPr>
      <w:rFonts w:ascii="Calibri" w:hAnsi="Calibri"/>
      <w:szCs w:val="22"/>
    </w:rPr>
  </w:style>
  <w:style w:type="paragraph" w:styleId="19">
    <w:name w:val="Balloon Text"/>
    <w:basedOn w:val="0"/>
    <w:next w:val="0"/>
    <w:rPr>
      <w:rFonts w:ascii="Calibri" w:eastAsia="宋体" w:hAnsi="Calibri"/>
      <w:sz w:val="18"/>
      <w:szCs w:val="18"/>
    </w:rPr>
  </w:style>
  <w:style w:type="paragraph" w:styleId="20">
    <w:name w:val="footer"/>
    <w:basedOn w:val="0"/>
    <w:pPr>
      <w:tabs>
        <w:tab w:val="center" w:pos="4153"/>
        <w:tab w:val="right" w:pos="8306"/>
      </w:tabs>
      <w:snapToGrid w:val="0"/>
      <w:jc w:val="left"/>
    </w:pPr>
    <w:rPr>
      <w:sz w:val="18"/>
      <w:szCs w:val="18"/>
    </w:rPr>
  </w:style>
  <w:style w:type="paragraph" w:styleId="21">
    <w:name w:val="Normal (Web)"/>
    <w:basedOn w:val="0"/>
    <w:pPr>
      <w:spacing w:before="100" w:beforeAutospacing="1" w:after="100" w:afterAutospacing="1"/>
      <w:ind w:firstLine="0"/>
      <w:jc w:val="both"/>
    </w:pPr>
    <w:rPr>
      <w:rFonts w:eastAsia="宋体"/>
    </w:rPr>
  </w:style>
  <w:style w:type="paragraph" w:styleId="22">
    <w:name w:val="Body Text First Indent"/>
    <w:basedOn w:val="16"/>
    <w:autoRedefine/>
    <w:pPr>
      <w:widowControl w:val="0"/>
      <w:spacing w:before="100" w:beforeAutospacing="1" w:after="120" w:afterAutospacing="1" w:line="360" w:lineRule="auto"/>
      <w:ind w:firstLineChars="100" w:firstLine="100"/>
      <w:jc w:val="both"/>
    </w:pPr>
    <w:rPr>
      <w:rFonts w:ascii="Times New Roman" w:eastAsia="宋体" w:cs="Times New Roman" w:hAnsi="Times New Roman"/>
      <w:kern w:val="2"/>
      <w:sz w:val="21"/>
      <w:szCs w:val="24"/>
      <w:lang w:val="en-US" w:eastAsia="zh-CN" w:bidi="ar-SA"/>
    </w:rPr>
  </w:style>
  <w:style w:type="paragraph" w:styleId="23">
    <w:name w:val="Body Text First Indent 2"/>
    <w:basedOn w:val="17"/>
    <w:autoRedefine/>
    <w:pPr>
      <w:spacing w:line="240" w:lineRule="auto"/>
      <w:ind w:leftChars="200" w:left="200" w:firstLine="420"/>
    </w:pPr>
    <w:rPr>
      <w:sz w:val="21"/>
      <w:szCs w:val="24"/>
    </w:rPr>
  </w:style>
  <w:style w:type="character" w:styleId="24">
    <w:name w:val="Strong"/>
    <w:basedOn w:val="10"/>
    <w:autoRedefine/>
    <w:rPr>
      <w:rFonts w:eastAsia="黑体"/>
      <w:bCs/>
    </w:rPr>
  </w:style>
  <w:style w:type="paragraph" w:customStyle="1" w:styleId="25">
    <w:name w:val="表格文字（两侧对齐）"/>
    <w:basedOn w:val="0"/>
    <w:pPr>
      <w:spacing w:line="240" w:lineRule="auto"/>
    </w:pPr>
    <w:rPr>
      <w:rFonts w:ascii="Calibri" w:cs="Times New Roman" w:hAnsi="Calibri"/>
      <w:kern w:val="0"/>
      <w:sz w:val="20"/>
    </w:rPr>
  </w:style>
  <w:style w:type="paragraph" w:customStyle="1" w:styleId="26">
    <w:name w:val="表格文字"/>
    <w:basedOn w:val="25"/>
    <w:pPr>
      <w:spacing w:before="20" w:after="20"/>
      <w:ind w:firstLine="0"/>
    </w:pPr>
    <w:rPr>
      <w:rFonts w:ascii="Century Gothic" w:eastAsia="宋体" w:cs="Times New Roman" w:hAnsi="Century Gothic"/>
      <w:sz w:val="20"/>
    </w:rPr>
  </w:style>
  <w:style w:type="character" w:customStyle="1" w:styleId="27">
    <w:name w:val="font31"/>
    <w:basedOn w:val="10"/>
    <w:autoRedefine/>
    <w:rPr>
      <w:rFonts w:ascii="Calibri" w:cs="Calibri" w:hAnsi="Calibri"/>
      <w:color w:val="000000"/>
      <w:sz w:val="20"/>
      <w:szCs w:val="20"/>
      <w:u w:val="none"/>
    </w:rPr>
  </w:style>
  <w:style w:type="character" w:customStyle="1" w:styleId="28">
    <w:name w:val="font81"/>
    <w:basedOn w:val="10"/>
    <w:autoRedefine/>
    <w:rPr>
      <w:rFonts w:ascii="宋体" w:eastAsia="宋体" w:cs="宋体"/>
      <w:color w:val="000000"/>
      <w:sz w:val="20"/>
      <w:szCs w:val="20"/>
      <w:u w:val="none"/>
    </w:rPr>
  </w:style>
  <w:style w:type="character" w:customStyle="1" w:styleId="29">
    <w:name w:val="font112"/>
    <w:basedOn w:val="10"/>
    <w:autoRedefine/>
    <w:rPr>
      <w:rFonts w:ascii="宋体" w:eastAsia="宋体" w:cs="宋体"/>
      <w:color w:val="000000"/>
      <w:sz w:val="16"/>
      <w:szCs w:val="16"/>
      <w:u w:val="none"/>
    </w:rPr>
  </w:style>
  <w:style w:type="character" w:customStyle="1" w:styleId="30">
    <w:name w:val="font61"/>
    <w:basedOn w:val="10"/>
    <w:autoRedefine/>
    <w:rPr>
      <w:rFonts w:ascii="宋体" w:eastAsia="宋体" w:cs="宋体"/>
      <w:color w:val="000000"/>
      <w:sz w:val="20"/>
      <w:szCs w:val="20"/>
      <w:u w:val="none"/>
    </w:rPr>
  </w:style>
  <w:style w:type="character" w:customStyle="1" w:styleId="31">
    <w:name w:val="font41"/>
    <w:basedOn w:val="10"/>
    <w:autoRedefine/>
    <w:rPr>
      <w:rFonts w:ascii="Symbol" w:cs="Symbol" w:hAnsi="Symbol"/>
      <w:color w:val="000000"/>
      <w:sz w:val="20"/>
      <w:szCs w:val="20"/>
      <w:u w:val="none"/>
    </w:rPr>
  </w:style>
  <w:style w:type="character" w:customStyle="1" w:styleId="32">
    <w:name w:val="font51"/>
    <w:basedOn w:val="10"/>
    <w:autoRedefine/>
    <w:rPr>
      <w:rFonts w:ascii="宋体" w:eastAsia="宋体" w:cs="宋体"/>
      <w:color w:val="000000"/>
      <w:sz w:val="20"/>
      <w:szCs w:val="20"/>
      <w:u w:val="none"/>
    </w:rPr>
  </w:style>
  <w:style w:type="character" w:customStyle="1" w:styleId="33">
    <w:name w:val="font01"/>
    <w:basedOn w:val="10"/>
    <w:autoRedefine/>
    <w:rPr>
      <w:rFonts w:ascii="Calibri" w:cs="Calibri" w:hAnsi="Calibri"/>
      <w:color w:val="000000"/>
      <w:sz w:val="20"/>
      <w:szCs w:val="20"/>
      <w:u w:val="none"/>
    </w:rPr>
  </w:style>
  <w:style w:type="character" w:customStyle="1" w:styleId="34">
    <w:name w:val="font21"/>
    <w:basedOn w:val="10"/>
    <w:autoRedefine/>
    <w:rPr>
      <w:rFonts w:ascii="宋体" w:eastAsia="宋体" w:cs="宋体"/>
      <w:color w:val="000000"/>
      <w:sz w:val="21"/>
      <w:szCs w:val="21"/>
      <w:u w:val="none"/>
    </w:rPr>
  </w:style>
  <w:style w:type="paragraph" w:customStyle="1" w:styleId="35">
    <w:name w:val="样式3"/>
    <w:basedOn w:val="3"/>
    <w:autoRedefine/>
    <w:pPr>
      <w:tabs>
        <w:tab w:val="left" w:pos="0"/>
        <w:tab w:val="left" w:pos="720"/>
      </w:tabs>
      <w:spacing w:beforeLines="50" w:before="50" w:beforeAutospacing="0" w:afterLines="50" w:after="50" w:afterAutospacing="0"/>
    </w:pPr>
    <w:rPr>
      <w:rFonts w:eastAsia="宋体"/>
      <w:b/>
      <w:kern w:val="0"/>
    </w:rPr>
  </w:style>
  <w:style w:type="paragraph" w:customStyle="1" w:styleId="36">
    <w:name w:val="列出段落1"/>
    <w:basedOn w:val="0"/>
    <w:autoRedefine/>
    <w:pPr>
      <w:ind w:firstLineChars="200" w:firstLine="200"/>
    </w:pPr>
  </w:style>
  <w:style w:type="paragraph" w:customStyle="1" w:styleId="37">
    <w:name w:val="Normal_2"/>
    <w:autoRedefine/>
    <w:pPr>
      <w:spacing w:before="120" w:after="240"/>
      <w:jc w:val="both"/>
    </w:pPr>
    <w:rPr>
      <w:rFonts w:ascii="Calibri" w:eastAsia="Calibri" w:cs="Times New Roman" w:hAnsi="Calibri"/>
      <w:sz w:val="22"/>
      <w:szCs w:val="22"/>
      <w:lang w:val="ru-RU" w:eastAsia="en-US" w:bidi="ar-SA"/>
    </w:rPr>
  </w:style>
  <w:style w:type="paragraph" w:customStyle="1" w:styleId="38">
    <w:name w:val="列出段落"/>
    <w:basedOn w:val="0"/>
    <w:autoRedefine/>
    <w:pPr>
      <w:ind w:firstLineChars="200" w:firstLine="200"/>
    </w:pPr>
  </w:style>
  <w:style w:type="paragraph" w:customStyle="1" w:styleId="39">
    <w:name w:val="List Paragraph"/>
    <w:basedOn w:val="0"/>
    <w:pPr>
      <w:ind w:firstLineChars="200" w:firstLine="200"/>
    </w:pPr>
  </w:style>
  <w:style w:type="character" w:customStyle="1" w:styleId="40">
    <w:name w:val="fontstyle01"/>
    <w:basedOn w:val="10"/>
    <w:rPr>
      <w:rFonts w:ascii="宋体" w:eastAsia="宋体" w:cs="Times New Roman"/>
      <w:color w:val="0000FF"/>
      <w:sz w:val="22"/>
      <w:szCs w:val="22"/>
    </w:rPr>
  </w:style>
  <w:style w:type="character" w:customStyle="1" w:styleId="41">
    <w:name w:val="divcss5"/>
  </w:style>
  <w:style w:type="character" w:customStyle="1" w:styleId="42">
    <w:name w:val="font71"/>
    <w:basedOn w:val="10"/>
    <w:rPr>
      <w:rFonts w:ascii="方正黑体_GBK" w:eastAsia="方正黑体_GBK" w:cs="方正黑体_GBK"/>
      <w:color w:val="000000"/>
      <w:sz w:val="22"/>
      <w:szCs w:val="22"/>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27</Pages>
  <Words>12427</Words>
  <Characters>14640</Characters>
  <Lines>1645</Lines>
  <Paragraphs>1008</Paragraphs>
  <CharactersWithSpaces>18735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WPS_1647936229</dc:creator>
  <cp:lastModifiedBy>张露</cp:lastModifiedBy>
  <cp:revision>1</cp:revision>
  <dcterms:created xsi:type="dcterms:W3CDTF">2023-06-29T01:29:00Z</dcterms:created>
  <dcterms:modified xsi:type="dcterms:W3CDTF">2026-05-27T06:54:49Z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2052-12.1.0.26375</vt:lpwstr>
  </property>
  <property fmtid="{D5CDD505-2E9C-101B-9397-08002B2CF9AE}" pid="3" name="ICV">
    <vt:lpwstr>05310453941140FAA972F3527779FDD2_11</vt:lpwstr>
  </property>
  <property fmtid="{D5CDD505-2E9C-101B-9397-08002B2CF9AE}" pid="4" name="KSOTemplateDocerSaveRecord">
    <vt:lpwstr>eyJoZGlkIjoiNmY5Njk1MzgyMWIyNzc4NzczODQ5MjUxM2UzNzljZTIiLCJ1c2VySWQiOiIxMzUwMDkyMzYzIn0=</vt:lpwstr>
  </property>
</Properties>
</file>