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bookmarkStart w:id="0" w:name="_GoBack"/>
      <w:bookmarkEnd w:id="0"/>
    </w:p>
    <w:p>
      <w:pPr>
        <w:jc w:val="center"/>
      </w:pPr>
      <w:r>
        <w:rPr>
          <w:rFonts w:hint="eastAsia"/>
        </w:rPr>
        <w:t>中华人民共和国贵阳海关</w:t>
      </w:r>
    </w:p>
    <w:p>
      <w:pPr>
        <w:jc w:val="center"/>
      </w:pPr>
      <w:r>
        <w:rPr>
          <w:rFonts w:hint="eastAsia"/>
        </w:rPr>
        <w:t>行政处罚决定书</w:t>
      </w:r>
    </w:p>
    <w:p>
      <w:pPr>
        <w:ind w:firstLineChars="2700" w:firstLine="5670"/>
      </w:pPr>
      <w:r>
        <w:t>黔关缉违字〔2025〕3号</w:t>
      </w:r>
    </w:p>
    <w:p>
      <w:pPr>
        <w:ind w:left="0"/>
      </w:pPr>
      <w:r>
        <w:t xml:space="preserve">当事人：贵州习智科技有限公司，法定代表人：陈世标 </w:t>
      </w:r>
    </w:p>
    <w:p>
      <w:pPr>
        <w:ind w:left="0"/>
      </w:pPr>
      <w:r>
        <w:t xml:space="preserve">地址：贵州省遵义市习水县东皇街道办事处大陆村田湾 组（物流南路旁） </w:t>
      </w:r>
    </w:p>
    <w:p>
      <w:pPr>
        <w:ind w:firstLineChars="200" w:firstLine="420"/>
      </w:pPr>
      <w:r>
        <w:t xml:space="preserve">经我关调查，当事人贵州习智科技有限公司有以下违法行为：当事人在执行C830323A0001号加工贸易手册期间，于2024年5月期间以公司“调拨”形式将执行中的 C830323A0001号加工贸易手册项下共计543927个液晶模组保税成品擅自发运至深圳市世通物流仓库内进行存放。该批保税货物自2024年5月至2024年7月11日的存放期间，当 事人因工作失误始终未将543927个液晶模组保税货物的发运、存放事宜向贵阳海关进行报备，涉嫌违规。该批543927个液晶模组货物价值人民币5872127.1066元。 </w:t>
      </w:r>
    </w:p>
    <w:p>
      <w:pPr>
        <w:ind w:firstLineChars="200" w:firstLine="420"/>
      </w:pPr>
      <w:r>
        <w:t xml:space="preserve">以上行为有线索移交单，稽查材料，查问笔录，取样笔录，贵州习智公司出具的情况说明，贵州习智公司提供的涉及擅自发运情况的“直接调拨单”，贵州习智公司提供的涉及擅自发运情况的货运单及运输合同，贵阳海关缉私局出具的货物价值认定表及情况说明等证据为证。 </w:t>
      </w:r>
    </w:p>
    <w:p>
      <w:pPr>
        <w:ind w:firstLineChars="200" w:firstLine="420"/>
      </w:pPr>
      <w:r>
        <w:t xml:space="preserve">当事人贵州习智科技有限公司未经海关许可，擅自将海关监管货物发运的行为已违反《中华人民共和国海关 法》第三十七条第一款之规定，构成违规。依照《中华人民共和国海关行政处罚实施条例》第十八条第一款（一） 项、《中华人民共和国海关办理行政处罚案件程序规定》 第五十八条第一款第（五）项、《中华人民共和国海关行政处罚裁量基准（一）》（海关总署公告2023年第182号） 第八条第七项第4目、第十二条第一项之规定，决定对当事 人贵州习智科技有限公司作出如下行政处罚： </w:t>
      </w:r>
    </w:p>
    <w:p>
      <w:pPr>
        <w:ind w:firstLineChars="200" w:firstLine="420"/>
      </w:pPr>
      <w:r>
        <w:t xml:space="preserve">1.科处罚款人民币8.8万元。 </w:t>
      </w:r>
    </w:p>
    <w:p>
      <w:pPr>
        <w:ind w:firstLineChars="200" w:firstLine="420"/>
      </w:pPr>
      <w:r>
        <w:t xml:space="preserve">当事人应当自收到本决定书之日起十五日内，依照《中华人民共和国行政处罚法》第六十六条、第六十七条之规定，缴纳罚款。 </w:t>
      </w:r>
    </w:p>
    <w:p>
      <w:pPr>
        <w:ind w:firstLineChars="200" w:firstLine="420"/>
      </w:pPr>
      <w:r>
        <w:t xml:space="preserve">当事人不服本处罚决定的，依照《中华人民共和国行政复议法》第二十条、第二十七条、《中华人民共和国行 政诉讼法》第四十六条之规定，可自收到本决定书之日起 六十日内向海关总署申请行政复议，或者自收到本决定书之日起六个月内，直接向贵阳市中级人民法院提起诉讼。 </w:t>
      </w:r>
    </w:p>
    <w:p>
      <w:pPr>
        <w:ind w:firstLineChars="200" w:firstLine="420"/>
        <w:rPr>
          <w:rFonts w:hint="eastAsia"/>
        </w:rPr>
      </w:pPr>
      <w:r>
        <w:t>依照《中华人民共和国行政处罚法》第七十二条、 《中华人民共和国海关法》第九十三条之规定，当事人到期不缴纳罚款的，每日可以按罚款数额的百分之三加处罚款，加处罚款的数额不超出罚款数额；当事人逾期不履行处罚决定又不申请复议或者向人民法院提起诉讼的，海关可以将扣留的货物、物品、运输工具依法变价抵缴，或者以当事人提供的保证金抵缴；也可以采取法律规定的其他行政强制执行方式或者申请人民法院强制执行。</w:t>
      </w:r>
    </w:p>
    <w:p>
      <w:pPr>
        <w:ind w:firstLineChars="200" w:firstLine="420"/>
        <w:rPr>
          <w:rFonts w:hint="eastAsia"/>
        </w:rPr>
      </w:pPr>
    </w:p>
    <w:p>
      <w:pPr>
        <w:ind w:firstLineChars="200" w:firstLine="420"/>
        <w:rPr>
          <w:rFonts w:hint="eastAsia"/>
        </w:rPr>
      </w:pPr>
    </w:p>
    <w:p>
      <w:pPr>
        <w:ind w:firstLineChars="200" w:firstLine="420"/>
        <w:rPr>
          <w:rFonts w:hint="eastAsia"/>
        </w:rPr>
      </w:pPr>
    </w:p>
    <w:p>
      <w:pPr>
        <w:ind w:firstLineChars="3100" w:firstLine="6510"/>
        <w:rPr>
          <w:rFonts w:hint="eastAsia"/>
        </w:rPr>
      </w:pPr>
      <w:r>
        <w:rPr>
          <w:rFonts w:hint="eastAsia"/>
        </w:rPr>
        <w:t>（关印）</w:t>
      </w:r>
    </w:p>
    <w:p>
      <w:pPr>
        <w:ind w:firstLineChars="2900" w:firstLine="6090"/>
      </w:pPr>
      <w:r>
        <w:rPr>
          <w:rFonts w:hint="eastAsia"/>
        </w:rPr>
        <w:t>202</w:t>
      </w:r>
      <w:r>
        <w:t>5</w:t>
      </w:r>
      <w:r>
        <w:rPr>
          <w:rFonts w:hint="eastAsia"/>
        </w:rPr>
        <w:t>年</w:t>
      </w:r>
      <w:r>
        <w:t>03</w:t>
      </w:r>
      <w:r>
        <w:rPr>
          <w:rFonts w:hint="eastAsia"/>
        </w:rPr>
        <w:t>月</w:t>
      </w:r>
      <w:r>
        <w:t>19</w:t>
      </w:r>
      <w:r>
        <w:rPr>
          <w:rFonts w:hint="eastAsia"/>
        </w:rPr>
        <w:t>日</w:t>
      </w:r>
    </w:p>
    <w:sectPr>
      <w:pgSz w:w="11906" w:h="16838"/>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auto"/>
    <w:pitch w:val="variable"/>
    <w:sig w:usb0="00000A87" w:usb1="00000000" w:usb2="00000000" w:usb3="00000000" w:csb0="400001BF" w:csb1="DFF7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auto"/>
    <w:pitch w:val="variable"/>
    <w:sig w:usb0="00007A87" w:usb1="80000000" w:usb2="00000008" w:usb3="00000000" w:csb0="400001FF" w:csb1="FFFF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val="fullPage" w:percent="90"/>
  <w:doNotDisplayPageBoundaries/>
  <w:bordersDoNotSurroundHeader/>
  <w:bordersDoNotSurroundFooter/>
  <w:trackRevisions/>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growAutofit/>
    <w:useAltKinsokuLineBreakRules/>
    <w:splitPgBreakAndParaMark/>
    <w:compatSetting w:name="compatibilityMode" w:uri="http://schemas.microsoft.com/office/word" w:val="14"/>
  </w:compat>
  <w:docVar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Calibri" w:eastAsia="宋体" w:cs="Arial" w:hAnsi="Calibri"/>
      <w:kern w:val="2"/>
      <w:sz w:val="21"/>
      <w:szCs w:val="22"/>
      <w:lang w:val="en-US" w:eastAsia="zh-CN" w:bidi="ar-SA"/>
    </w:rPr>
  </w:style>
  <w:style w:type="character" w:default="1" w:styleId="10">
    <w:name w:val="Default Paragraph Font"/>
  </w:style>
  <w:style w:type="paragraph" w:styleId="15">
    <w:name w:val="header"/>
    <w:basedOn w:val="0"/>
    <w:pPr>
      <w:pBdr>
        <w:bottom w:val="single" w:sz="6" w:space="1" w:color="auto"/>
      </w:pBdr>
      <w:tabs>
        <w:tab w:val="center" w:pos="4153"/>
        <w:tab w:val="right" w:pos="8306"/>
      </w:tabs>
      <w:snapToGrid w:val="0"/>
      <w:jc w:val="center"/>
    </w:pPr>
    <w:rPr>
      <w:sz w:val="18"/>
      <w:szCs w:val="18"/>
    </w:rPr>
  </w:style>
  <w:style w:type="paragraph" w:styleId="16">
    <w:name w:val="footer"/>
    <w:basedOn w:val="0"/>
    <w:pPr>
      <w:tabs>
        <w:tab w:val="center" w:pos="4153"/>
        <w:tab w:val="right" w:pos="8306"/>
      </w:tabs>
      <w:snapToGrid w:val="0"/>
      <w:jc w:val="left"/>
    </w:pPr>
    <w:rPr>
      <w:sz w:val="18"/>
      <w:szCs w:val="18"/>
    </w:rPr>
  </w:style>
  <w:style w:type="paragraph" w:customStyle="1" w:styleId="17">
    <w:name w:val="样式 小四"/>
    <w:pPr>
      <w:widowControl w:val="0"/>
      <w:spacing w:line="240" w:lineRule="auto"/>
      <w:jc w:val="left"/>
    </w:pPr>
    <w:rPr>
      <w:rFonts w:ascii="宋体" w:eastAsia="宋体" w:cs="Times New Roman"/>
      <w:kern w:val="2"/>
      <w:sz w:val="24"/>
      <w:szCs w:val="21"/>
      <w:lang w:val="en-US" w:eastAsia="zh-CN" w:bidi="ar-SA"/>
    </w:rPr>
  </w:style>
  <w:style w:type="paragraph" w:customStyle="1" w:styleId="18">
    <w:name w:val="样式 1 小四"/>
    <w:pPr>
      <w:widowControl w:val="0"/>
      <w:spacing w:line="240" w:lineRule="auto"/>
      <w:jc w:val="left"/>
    </w:pPr>
    <w:rPr>
      <w:rFonts w:ascii="宋体" w:eastAsia="宋体" w:cs="Times New Roman"/>
      <w:kern w:val="2"/>
      <w:sz w:val="24"/>
      <w:szCs w:val="21"/>
      <w:lang w:val="en-US" w:eastAsia="zh-CN" w:bidi="ar-SA"/>
    </w:rPr>
  </w:style>
  <w:style w:type="paragraph" w:customStyle="1" w:styleId="19">
    <w:name w:val="样式 2 小四"/>
    <w:pPr>
      <w:widowControl w:val="0"/>
      <w:spacing w:line="240" w:lineRule="auto"/>
      <w:jc w:val="left"/>
    </w:pPr>
    <w:rPr>
      <w:rFonts w:ascii="宋体" w:eastAsia="宋体" w:cs="Times New Roman"/>
      <w:kern w:val="2"/>
      <w:sz w:val="24"/>
      <w:szCs w:val="21"/>
      <w:lang w:val="en-US" w:eastAsia="zh-CN"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160</TotalTime>
  <Application>Yozo_Office</Application>
  <Pages>1</Pages>
  <Words>1010</Words>
  <Characters>1084</Characters>
  <Lines>39</Lines>
  <Paragraphs>14</Paragraphs>
  <CharactersWithSpaces>1103</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fangdi</dc:creator>
  <cp:lastModifiedBy>张露</cp:lastModifiedBy>
  <cp:revision>2</cp:revision>
  <dcterms:created xsi:type="dcterms:W3CDTF">2020-03-09T03:22:00Z</dcterms:created>
  <dcterms:modified xsi:type="dcterms:W3CDTF">2025-03-26T09:24:35Z</dcterms:modified>
</cp:coreProperties>
</file>