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560" w:lineRule="exact"/>
        <w:jc w:val="center"/>
        <w:rPr>
          <w:rFonts w:ascii="方正仿宋简体" w:eastAsia="方正仿宋简体" w:hint="eastAsia"/>
          <w:sz w:val="44"/>
          <w:szCs w:val="44"/>
        </w:rPr>
      </w:pPr>
      <w:r>
        <w:rPr>
          <w:rFonts w:ascii="方正仿宋简体" w:eastAsia="方正仿宋简体" w:hint="eastAsia"/>
          <w:sz w:val="44"/>
          <w:szCs w:val="44"/>
        </w:rPr>
        <w:t>中华人民共和国贵阳海关</w:t>
      </w:r>
    </w:p>
    <w:p>
      <w:pPr>
        <w:spacing w:line="560" w:lineRule="exact"/>
        <w:jc w:val="center"/>
        <w:rPr>
          <w:rFonts w:ascii="方正仿宋简体" w:eastAsia="方正仿宋简体" w:hint="eastAsia"/>
          <w:sz w:val="44"/>
          <w:szCs w:val="44"/>
        </w:rPr>
      </w:pPr>
      <w:r>
        <w:rPr>
          <w:rFonts w:ascii="方正仿宋简体" w:eastAsia="方正仿宋简体" w:hint="eastAsia"/>
          <w:sz w:val="44"/>
          <w:szCs w:val="44"/>
        </w:rPr>
        <w:t>行政处罚决定书</w:t>
      </w:r>
    </w:p>
    <w:p>
      <w:pPr>
        <w:spacing w:line="560" w:lineRule="exact"/>
        <w:ind w:left="0"/>
        <w:jc w:val="right"/>
        <w:rPr>
          <w:rFonts w:ascii="方正仿宋_GBK" w:eastAsia="方正仿宋_GBK" w:hint="eastAsia"/>
          <w:sz w:val="32"/>
          <w:szCs w:val="32"/>
        </w:rPr>
      </w:pPr>
      <w:r>
        <w:rPr>
          <w:rFonts w:ascii="方正仿宋_GBK" w:eastAsia="方正仿宋_GBK" w:hint="eastAsia"/>
          <w:sz w:val="32"/>
          <w:szCs w:val="32"/>
        </w:rPr>
        <w:t>黔关缉违字〔2025〕4号</w:t>
      </w:r>
    </w:p>
    <w:p>
      <w:pPr>
        <w:spacing w:line="560" w:lineRule="exact"/>
        <w:ind w:firstLineChars="200" w:firstLine="640"/>
        <w:rPr>
          <w:rFonts w:ascii="方正仿宋_GBK" w:eastAsia="方正仿宋_GBK" w:hint="eastAsia"/>
          <w:sz w:val="32"/>
          <w:szCs w:val="32"/>
        </w:rPr>
      </w:pPr>
      <w:r>
        <w:rPr>
          <w:rFonts w:ascii="方正仿宋_GBK" w:eastAsia="方正仿宋_GBK" w:hint="eastAsia"/>
          <w:sz w:val="32"/>
          <w:szCs w:val="32"/>
        </w:rPr>
        <w:t>当事人：贵州万友利谊贸易有限公司，法定代表人：曹永强（实际控制人袁崇汉），统一社会信用代码：91520900MACGHEFW1G</w:t>
      </w:r>
    </w:p>
    <w:p>
      <w:pPr>
        <w:spacing w:line="560" w:lineRule="exact"/>
        <w:rPr>
          <w:rFonts w:ascii="方正仿宋_GBK" w:eastAsia="方正仿宋_GBK" w:hint="eastAsia"/>
          <w:sz w:val="32"/>
          <w:szCs w:val="32"/>
        </w:rPr>
      </w:pPr>
      <w:r>
        <w:rPr>
          <w:rFonts w:ascii="方正仿宋_GBK" w:eastAsia="方正仿宋_GBK" w:hint="eastAsia"/>
          <w:sz w:val="32"/>
          <w:szCs w:val="32"/>
        </w:rPr>
        <w:t>地 址：</w:t>
      </w:r>
      <w:r>
        <w:rPr>
          <w:rStyle w:val="0"/>
          <w:rFonts w:ascii="方正仿宋_GBK" w:eastAsia="方正仿宋_GBK" w:hint="eastAsia"/>
          <w:sz w:val="32"/>
          <w:szCs w:val="32"/>
        </w:rPr>
        <w:t>贵州省贵安新区马场镇围网内保税仓库14号</w:t>
      </w:r>
    </w:p>
    <w:p>
      <w:pPr>
        <w:spacing w:line="560" w:lineRule="exact"/>
        <w:ind w:firstLineChars="200" w:firstLine="640"/>
        <w:rPr>
          <w:rFonts w:ascii="方正仿宋_GBK" w:eastAsia="方正仿宋_GBK" w:hint="eastAsia"/>
          <w:sz w:val="32"/>
          <w:szCs w:val="32"/>
        </w:rPr>
      </w:pPr>
      <w:r>
        <w:rPr>
          <w:rFonts w:ascii="方正仿宋_GBK" w:eastAsia="方正仿宋_GBK" w:hint="eastAsia"/>
          <w:sz w:val="32"/>
          <w:szCs w:val="32"/>
        </w:rPr>
        <w:t xml:space="preserve">经我关调查，当事人贵州万友利谊贸易有限公司有以下违法行为：2023年6月19日，当事人向贵安海关申请设立保税物流账册（账册号：T8306W000033），于2023年7月 14日至11月8日期间，分三次申报进区红茶420箱、红茶茶粉360箱及袋泡茶950箱存储于贵安新区综合保税区A1栋仓库内，申报进区货物总价值为人民币7490169.6元。2024年11月12日，当事人为保证融资租赁合同的履行，与贵阳产控融资租赁有限公司签订抵押合同（编号： GYCKZLDYH字【2024】第002号），未经海关许可擅自将上述保税货物抵押给贵阳产控融资租赁有限公司。  </w:t>
      </w:r>
    </w:p>
    <w:p>
      <w:pPr>
        <w:spacing w:line="560" w:lineRule="exact"/>
        <w:ind w:firstLineChars="200" w:firstLine="640"/>
        <w:rPr>
          <w:rFonts w:ascii="方正仿宋_GBK" w:eastAsia="方正仿宋_GBK" w:hint="eastAsia"/>
          <w:sz w:val="32"/>
          <w:szCs w:val="32"/>
        </w:rPr>
      </w:pPr>
      <w:r>
        <w:rPr>
          <w:rFonts w:ascii="方正仿宋_GBK" w:eastAsia="方正仿宋_GBK" w:hint="eastAsia"/>
          <w:sz w:val="32"/>
          <w:szCs w:val="32"/>
        </w:rPr>
        <w:t>以上行为有：案件线索移交单，营业执照，委托书及江宁查问笔录，曹永强询问笔录，贵阳产控融资租赁有限公司补充抵押合同（编号：GYCKZLDYH字【2024】第 002号），查验工作记录，贵安新区海关情况说明，贵安新区海关移交相关进出申报信息系统截图等证据为证。</w:t>
      </w:r>
    </w:p>
    <w:p>
      <w:pPr>
        <w:spacing w:line="560" w:lineRule="exact"/>
        <w:ind w:firstLineChars="200" w:firstLine="640"/>
        <w:rPr>
          <w:rFonts w:ascii="方正仿宋_GBK" w:eastAsia="方正仿宋_GBK" w:hint="eastAsia"/>
          <w:sz w:val="32"/>
          <w:szCs w:val="32"/>
        </w:rPr>
      </w:pPr>
      <w:r>
        <w:rPr>
          <w:rFonts w:ascii="方正仿宋_GBK" w:eastAsia="方正仿宋_GBK" w:hint="eastAsia"/>
          <w:sz w:val="32"/>
          <w:szCs w:val="32"/>
        </w:rPr>
        <w:t xml:space="preserve">依照《中华人民共和国海关行政处罚实施条例》第十八条第一款第（一）项、《中华人民共和国海关行政处罚 裁量基准（一）》（海关总署公告2023年第182号）第八条第七项第4目、第十二条第一项之规定，决定对当事人贵州万友利谊贸易有限公司作出如下行政处罚： 科处罚款人民币11万元。 </w:t>
      </w:r>
    </w:p>
    <w:p>
      <w:pPr>
        <w:spacing w:line="560" w:lineRule="exact"/>
        <w:ind w:firstLineChars="200" w:firstLine="640"/>
        <w:rPr>
          <w:rFonts w:ascii="方正仿宋_GBK" w:eastAsia="方正仿宋_GBK" w:hint="eastAsia"/>
          <w:sz w:val="32"/>
          <w:szCs w:val="32"/>
        </w:rPr>
      </w:pPr>
      <w:r>
        <w:rPr>
          <w:rFonts w:ascii="方正仿宋_GBK" w:eastAsia="方正仿宋_GBK" w:hint="eastAsia"/>
          <w:sz w:val="32"/>
          <w:szCs w:val="32"/>
        </w:rPr>
        <w:t xml:space="preserve">当事人应当自收到本决定书之日起十五日内，依照《中华人民共和国行政处罚法》第六十六条、第六十七条之规定，缴纳罚款。 </w:t>
      </w:r>
    </w:p>
    <w:p>
      <w:pPr>
        <w:spacing w:line="560" w:lineRule="exact"/>
        <w:ind w:firstLineChars="200" w:firstLine="640"/>
        <w:rPr>
          <w:rFonts w:ascii="方正仿宋_GBK" w:eastAsia="方正仿宋_GBK" w:hint="eastAsia"/>
          <w:sz w:val="32"/>
          <w:szCs w:val="32"/>
        </w:rPr>
      </w:pPr>
      <w:r>
        <w:rPr>
          <w:rFonts w:ascii="方正仿宋_GBK" w:eastAsia="方正仿宋_GBK" w:hint="eastAsia"/>
          <w:sz w:val="32"/>
          <w:szCs w:val="32"/>
        </w:rPr>
        <w:t xml:space="preserve">当事人不服本处罚决定的，依照《中华人民共和国行政复议法》第二十条、第二十七条、《中华人民共和国行政诉讼法》第四十六条之规定，可自收到本决定书之日起六十日内向海关总署申请行政复议，或者自收到本决定书之日起六个月内，直接向贵阳市中级人民法院提起诉讼。 </w:t>
      </w:r>
    </w:p>
    <w:p>
      <w:pPr>
        <w:spacing w:line="560" w:lineRule="exact"/>
        <w:ind w:firstLineChars="200" w:firstLine="640"/>
        <w:rPr>
          <w:rFonts w:ascii="方正仿宋_GBK" w:eastAsia="方正仿宋_GBK" w:hint="eastAsia"/>
          <w:sz w:val="32"/>
          <w:szCs w:val="32"/>
        </w:rPr>
      </w:pPr>
      <w:r>
        <w:rPr>
          <w:rFonts w:ascii="方正仿宋_GBK" w:eastAsia="方正仿宋_GBK" w:hint="eastAsia"/>
          <w:sz w:val="32"/>
          <w:szCs w:val="32"/>
        </w:rPr>
        <w:t>依照《中华人民共和国行政处罚法》第七十二条、《中华人民共和国海关法》第九十三条之规定，当事人到期不缴纳罚款的，每日可以按罚款数额的百分之三加处罚款，加处罚款的数额不超出罚款数额；当事人逾期不履行处罚决定又不申请复议或者向人民法院提起诉讼的，海关可以将扣留的货物、物品、运输工具依法变价抵缴，或者以当事人提供的保证金抵缴；也可以采取法律规定的其他行政强制执行方式或者申请人民法院强制执行。</w:t>
      </w:r>
    </w:p>
    <w:p>
      <w:pPr>
        <w:ind w:firstLineChars="200" w:firstLine="640"/>
        <w:rPr>
          <w:rFonts w:ascii="方正仿宋_GBK" w:eastAsia="方正仿宋_GBK" w:hint="eastAsia"/>
          <w:sz w:val="32"/>
          <w:szCs w:val="32"/>
        </w:rPr>
      </w:pPr>
    </w:p>
    <w:p>
      <w:pPr>
        <w:ind w:firstLineChars="200" w:firstLine="640"/>
        <w:rPr>
          <w:rFonts w:ascii="方正仿宋_GBK" w:eastAsia="方正仿宋_GBK"/>
          <w:sz w:val="32"/>
          <w:szCs w:val="32"/>
        </w:rPr>
      </w:pPr>
    </w:p>
    <w:p>
      <w:pPr>
        <w:ind w:left="0"/>
        <w:jc w:val="right"/>
        <w:rPr>
          <w:rFonts w:ascii="方正仿宋_GBK" w:eastAsia="方正仿宋_GBK" w:hint="eastAsia"/>
          <w:sz w:val="32"/>
          <w:szCs w:val="32"/>
        </w:rPr>
      </w:pPr>
      <w:r>
        <w:rPr>
          <w:rFonts w:ascii="方正仿宋_GBK" w:eastAsia="方正仿宋_GBK"/>
          <w:sz w:val="32"/>
          <w:szCs w:val="32"/>
        </w:rPr>
        <w:t xml:space="preserve">                                                           </w:t>
      </w:r>
      <w:r>
        <w:rPr>
          <w:rFonts w:ascii="方正仿宋_GBK" w:eastAsia="方正仿宋_GBK" w:hint="eastAsia"/>
          <w:sz w:val="32"/>
          <w:szCs w:val="32"/>
        </w:rPr>
        <w:t>2025年11月1</w:t>
      </w:r>
      <w:bookmarkStart w:id="0" w:name="_GoBack"/>
      <w:bookmarkEnd w:id="0"/>
      <w:r>
        <w:rPr>
          <w:rFonts w:ascii="方正仿宋_GBK" w:eastAsia="方正仿宋_GBK" w:hint="eastAsia"/>
          <w:sz w:val="32"/>
          <w:szCs w:val="32"/>
        </w:rPr>
        <w:t>4日</w:t>
      </w: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方正仿宋简体">
    <w:panose1 w:val="02010601030101010101"/>
    <w:charset w:val="86"/>
    <w:family w:val="auto"/>
    <w:pitch w:val="variable"/>
    <w:sig w:usb0="00000001" w:usb1="080E0000" w:usb2="00000000" w:usb3="00000000" w:csb0="00040000" w:csb1="00000000"/>
  </w:font>
  <w:font w:name="方正仿宋_GBK">
    <w:panose1 w:val="03000509000000000000"/>
    <w:charset w:val="86"/>
    <w:family w:val="script"/>
    <w:pitch w:val="variable"/>
    <w:sig w:usb0="00000001" w:usb1="080E0000" w:usb2="00000000" w:usb3="00000000" w:csb0="00040000" w:csb1="00000000"/>
  </w:font>
  <w:font w:name="Times New Roman">
    <w:panose1 w:val="02020603050405020304"/>
    <w:charset w:val="00"/>
    <w:family w:val="auto"/>
    <w:pitch w:val="variable"/>
    <w:sig w:usb0="00000A87" w:usb1="00000000" w:usb2="00000000" w:usb3="00000000" w:csb0="400001BF" w:csb1="DFF7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auto"/>
    <w:pitch w:val="variable"/>
    <w:sig w:usb0="00007A87" w:usb1="80000000" w:usb2="00000008" w:usb3="00000000" w:csb0="400001FF" w:csb1="FFFF0000"/>
  </w:font>
  <w:font w:name="JSXZ_FZFS_GBK">
    <w:altName w:val="Times New Roman"/>
    <w:panose1 w:val="00000000000000000000"/>
    <w:charset w:val="00"/>
    <w:family w:val="auto"/>
    <w:pitch w:val="variable"/>
    <w:sig w:usb0="00000000" w:usb1="00000000" w:usb2="00000000" w:usb3="00000000" w:csb0="0000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val="fullPage" w:percent="110"/>
  <w:doNotDisplayPageBoundaries/>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useAltKinsokuLineBreakRules/>
    <w:splitPgBreakAndParaMark/>
    <w:compatSetting w:name="compatibilityMode" w:uri="http://schemas.microsoft.com/office/word" w:val="14"/>
  </w:compat>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2"/>
      <w:lang w:val="en-US" w:eastAsia="zh-CN" w:bidi="ar-SA"/>
    </w:rPr>
  </w:style>
  <w:style w:type="character" w:default="1" w:styleId="10">
    <w:name w:val="Default Paragraph Font"/>
  </w:style>
  <w:style w:type="paragraph" w:styleId="15">
    <w:name w:val="header"/>
    <w:basedOn w:val="0"/>
    <w:pPr>
      <w:pBdr>
        <w:bottom w:val="single" w:sz="6" w:space="1" w:color="auto"/>
      </w:pBdr>
      <w:tabs>
        <w:tab w:val="center" w:pos="4153"/>
        <w:tab w:val="right" w:pos="8306"/>
      </w:tabs>
      <w:snapToGrid w:val="0"/>
      <w:jc w:val="center"/>
    </w:pPr>
    <w:rPr>
      <w:sz w:val="18"/>
      <w:szCs w:val="18"/>
    </w:rPr>
  </w:style>
  <w:style w:type="paragraph" w:styleId="16">
    <w:name w:val="footer"/>
    <w:basedOn w:val="0"/>
    <w:pPr>
      <w:tabs>
        <w:tab w:val="center" w:pos="4153"/>
        <w:tab w:val="right" w:pos="8306"/>
      </w:tabs>
      <w:snapToGrid w:val="0"/>
      <w:jc w:val="left"/>
    </w:pPr>
    <w:rPr>
      <w:sz w:val="18"/>
      <w:szCs w:val="18"/>
    </w:rPr>
  </w:style>
  <w:style w:type="paragraph" w:customStyle="1" w:styleId="17">
    <w:name w:val="样式 小四"/>
    <w:pPr>
      <w:widowControl w:val="0"/>
      <w:spacing w:line="240" w:lineRule="auto"/>
      <w:jc w:val="left"/>
    </w:pPr>
    <w:rPr>
      <w:rFonts w:ascii="宋体" w:eastAsia="宋体" w:cs="Times New Roman"/>
      <w:kern w:val="2"/>
      <w:sz w:val="24"/>
      <w:szCs w:val="21"/>
      <w:lang w:val="en-US" w:eastAsia="zh-CN" w:bidi="ar-SA"/>
    </w:rPr>
  </w:style>
  <w:style w:type="paragraph" w:customStyle="1" w:styleId="18">
    <w:name w:val="样式 1 小四"/>
    <w:pPr>
      <w:widowControl w:val="0"/>
      <w:spacing w:line="240" w:lineRule="auto"/>
      <w:jc w:val="left"/>
    </w:pPr>
    <w:rPr>
      <w:rFonts w:ascii="宋体" w:eastAsia="宋体" w:cs="Times New Roman"/>
      <w:kern w:val="2"/>
      <w:sz w:val="24"/>
      <w:szCs w:val="21"/>
      <w:lang w:val="en-US" w:eastAsia="zh-CN" w:bidi="ar-SA"/>
    </w:rPr>
  </w:style>
  <w:style w:type="paragraph" w:customStyle="1" w:styleId="19">
    <w:name w:val="样式 2 小四"/>
    <w:pPr>
      <w:widowControl w:val="0"/>
      <w:spacing w:line="240" w:lineRule="auto"/>
      <w:jc w:val="left"/>
    </w:pPr>
    <w:rPr>
      <w:rFonts w:ascii="宋体" w:eastAsia="宋体" w:cs="Times New Roman"/>
      <w:kern w:val="2"/>
      <w:sz w:val="24"/>
      <w:szCs w:val="21"/>
      <w:lang w:val="en-US" w:eastAsia="zh-CN" w:bidi="ar-SA"/>
    </w:rPr>
  </w:style>
  <w:style w:type="paragraph" w:customStyle="1" w:styleId="20">
    <w:name w:val="样式 3 小四"/>
    <w:pPr>
      <w:widowControl w:val="0"/>
      <w:spacing w:line="240" w:lineRule="auto"/>
      <w:jc w:val="left"/>
    </w:pPr>
    <w:rPr>
      <w:rFonts w:ascii="宋体" w:eastAsia="宋体" w:cs="Times New Roman"/>
      <w:kern w:val="2"/>
      <w:sz w:val="24"/>
      <w:szCs w:val="21"/>
      <w:lang w:val="en-US" w:eastAsia="zh-CN" w:bidi="ar-SA"/>
    </w:rPr>
  </w:style>
  <w:style w:type="paragraph" w:customStyle="1" w:styleId="21">
    <w:name w:val="fontstyle0"/>
    <w:next w:val="16"/>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100" w:beforeAutospacing="1" w:after="100" w:afterAutospacing="1" w:line="240" w:lineRule="auto"/>
      <w:ind w:left="0" w:right="0" w:firstLine="0"/>
      <w:contextualSpacing w:val="0"/>
      <w:jc w:val="left"/>
      <w:textAlignment w:val="auto"/>
      <w:outlineLvl w:val="9"/>
    </w:pPr>
    <w:rPr>
      <w:rFonts w:ascii="JSXZ_FZFS_GBK" w:eastAsia="宋体" w:cs="Times New Roman" w:hAnsi="JSXZ_FZFS_GBK"/>
      <w:b w:val="0"/>
      <w:bCs w:val="0"/>
      <w:i w:val="0"/>
      <w:iCs w:val="0"/>
      <w:caps w:val="0"/>
      <w:smallCaps w:val="0"/>
      <w:strike w:val="0"/>
      <w:dstrike w:val="0"/>
      <w:snapToGrid/>
      <w:vanish w:val="0"/>
      <w:color w:val="auto"/>
      <w:spacing w:val="0"/>
      <w:w w:val="100"/>
      <w:kern w:val="0"/>
      <w:position w:val="0"/>
      <w:sz w:val="32"/>
      <w:szCs w:val="32"/>
      <w:u w:val="none" w:color="auto"/>
      <w:vertAlign w:val="baseline"/>
      <w:em w:val="none"/>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155</TotalTime>
  <Application>Yozo_Office</Application>
  <Pages>2</Pages>
  <Words>939</Words>
  <Characters>1037</Characters>
  <Lines>48</Lines>
  <Paragraphs>12</Paragraphs>
  <CharactersWithSpaces>1107</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fangdi</dc:creator>
  <cp:lastModifiedBy>张露</cp:lastModifiedBy>
  <cp:revision>2</cp:revision>
  <dcterms:created xsi:type="dcterms:W3CDTF">2020-03-09T03:22:00Z</dcterms:created>
  <dcterms:modified xsi:type="dcterms:W3CDTF">2025-12-15T09:12:43Z</dcterms:modified>
</cp:coreProperties>
</file>